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B769F" w14:textId="77777777" w:rsidR="000071EC" w:rsidRPr="00842B27" w:rsidRDefault="000071EC" w:rsidP="000071EC">
      <w:pPr>
        <w:spacing w:after="160" w:line="330" w:lineRule="atLeast"/>
        <w:jc w:val="both"/>
        <w:rPr>
          <w:rFonts w:ascii="Times New Roman" w:eastAsia="Times New Roman" w:hAnsi="Times New Roman" w:cs="Times New Roman"/>
          <w:color w:val="26282A"/>
          <w:shd w:val="clear" w:color="auto" w:fill="FFFFFF"/>
          <w:lang w:eastAsia="es-ES_tradnl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shd w:val="clear" w:color="auto" w:fill="FFFFFF"/>
          <w:lang w:eastAsia="es-ES_tradnl"/>
        </w:rPr>
        <w:t>Estimados Miembros,</w:t>
      </w:r>
    </w:p>
    <w:p w14:paraId="78128EE5" w14:textId="77777777" w:rsidR="000071EC" w:rsidRPr="00842B27" w:rsidRDefault="000071EC" w:rsidP="000071EC">
      <w:pPr>
        <w:spacing w:after="160" w:line="330" w:lineRule="atLeast"/>
        <w:jc w:val="both"/>
        <w:rPr>
          <w:rFonts w:ascii="Times New Roman" w:eastAsia="Times New Roman" w:hAnsi="Times New Roman" w:cs="Times New Roman"/>
          <w:color w:val="26282A"/>
          <w:shd w:val="clear" w:color="auto" w:fill="FFFFFF"/>
          <w:lang w:eastAsia="es-ES_tradnl"/>
        </w:rPr>
      </w:pPr>
      <w:r w:rsidRPr="00842B27">
        <w:rPr>
          <w:rFonts w:ascii="Times New Roman" w:eastAsia="Times New Roman" w:hAnsi="Times New Roman" w:cs="Times New Roman"/>
          <w:color w:val="26282A"/>
          <w:shd w:val="clear" w:color="auto" w:fill="FFFFFF"/>
          <w:lang w:val="es-ES" w:eastAsia="es-ES_tradnl"/>
        </w:rPr>
        <w:t>Los invitamos a sumarse la Comisión de Procedimientos Tributarios, en la que –si bien se partirá de la base de comentar y analizar decisiones jurisdiccionales- también compartiremos y debatiremos: (i) novedades legislativas, (ii) dictámenes de diversos organismos, (iii) proyectos legislativos, y; (iv) cualquier otro asunto que resulte de interés de los asistentes.</w:t>
      </w:r>
    </w:p>
    <w:p w14:paraId="7B00DEEC" w14:textId="77777777" w:rsidR="000071EC" w:rsidRPr="00842B27" w:rsidRDefault="000071EC" w:rsidP="000071EC">
      <w:pPr>
        <w:spacing w:after="160" w:line="330" w:lineRule="atLeast"/>
        <w:jc w:val="both"/>
        <w:rPr>
          <w:rFonts w:ascii="Times New Roman" w:eastAsia="Times New Roman" w:hAnsi="Times New Roman" w:cs="Times New Roman"/>
          <w:color w:val="26282A"/>
          <w:shd w:val="clear" w:color="auto" w:fill="FFFFFF"/>
          <w:lang w:eastAsia="es-ES_tradnl"/>
        </w:rPr>
      </w:pPr>
      <w:r w:rsidRPr="00842B27">
        <w:rPr>
          <w:rFonts w:ascii="Times New Roman" w:eastAsia="Times New Roman" w:hAnsi="Times New Roman" w:cs="Times New Roman"/>
          <w:color w:val="26282A"/>
          <w:shd w:val="clear" w:color="auto" w:fill="FFFFFF"/>
          <w:lang w:val="es-ES" w:eastAsia="es-ES_tradnl"/>
        </w:rPr>
        <w:t>Asimismo, y como siempre, los invitamos especialmente a quienes puedan sumarse a la sede de la Asociación, sin perjuicio que las reuniones continúan con el formato híbrido.</w:t>
      </w:r>
    </w:p>
    <w:p w14:paraId="6B750DFA" w14:textId="77777777" w:rsidR="000071EC" w:rsidRPr="00842B27" w:rsidRDefault="000071EC" w:rsidP="000071EC">
      <w:pPr>
        <w:spacing w:after="160" w:line="330" w:lineRule="atLeast"/>
        <w:jc w:val="both"/>
        <w:rPr>
          <w:rFonts w:ascii="Times New Roman" w:eastAsia="Times New Roman" w:hAnsi="Times New Roman" w:cs="Times New Roman"/>
          <w:color w:val="26282A"/>
          <w:shd w:val="clear" w:color="auto" w:fill="FFFFFF"/>
          <w:lang w:eastAsia="es-ES_tradnl"/>
        </w:rPr>
      </w:pPr>
      <w:r w:rsidRPr="00842B27">
        <w:rPr>
          <w:rFonts w:ascii="Times New Roman" w:eastAsia="Times New Roman" w:hAnsi="Times New Roman" w:cs="Times New Roman"/>
          <w:color w:val="26282A"/>
          <w:shd w:val="clear" w:color="auto" w:fill="FFFFFF"/>
          <w:lang w:val="es-ES" w:eastAsia="es-ES_tradnl"/>
        </w:rPr>
        <w:t>El temario sugerido para esta reunión es el siguiente:</w:t>
      </w:r>
    </w:p>
    <w:p w14:paraId="04A60E9C" w14:textId="77777777" w:rsidR="000071EC" w:rsidRPr="00842B27" w:rsidRDefault="000071EC" w:rsidP="000071EC">
      <w:pPr>
        <w:spacing w:line="330" w:lineRule="atLeast"/>
        <w:ind w:left="720"/>
        <w:jc w:val="both"/>
        <w:rPr>
          <w:rFonts w:ascii="Times New Roman" w:eastAsia="Times New Roman" w:hAnsi="Times New Roman" w:cs="Times New Roman"/>
          <w:color w:val="26282A"/>
          <w:shd w:val="clear" w:color="auto" w:fill="FFFFFF"/>
          <w:lang w:eastAsia="es-ES_tradnl"/>
        </w:rPr>
      </w:pPr>
      <w:r w:rsidRPr="00842B27">
        <w:rPr>
          <w:rFonts w:ascii="Times New Roman" w:eastAsia="Times New Roman" w:hAnsi="Times New Roman" w:cs="Times New Roman"/>
          <w:i/>
          <w:iCs/>
          <w:color w:val="26282A"/>
          <w:shd w:val="clear" w:color="auto" w:fill="FFFFFF"/>
          <w:lang w:eastAsia="es-ES_tradnl"/>
        </w:rPr>
        <w:t> </w:t>
      </w:r>
    </w:p>
    <w:p w14:paraId="718B219A" w14:textId="6E41C218" w:rsidR="00842B27" w:rsidRPr="00842B27" w:rsidRDefault="00842B27" w:rsidP="00842B27">
      <w:pPr>
        <w:rPr>
          <w:rFonts w:ascii="Times New Roman" w:eastAsia="Times New Roman" w:hAnsi="Times New Roman" w:cs="Times New Roman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lang w:eastAsia="es-AR"/>
        </w:rPr>
        <w:t>1.- </w:t>
      </w:r>
      <w:r w:rsidR="00192892">
        <w:rPr>
          <w:rFonts w:ascii="Times New Roman" w:eastAsia="Times New Roman" w:hAnsi="Times New Roman" w:cs="Times New Roman"/>
          <w:b/>
          <w:bCs/>
          <w:lang w:eastAsia="es-AR"/>
        </w:rPr>
        <w:t>El principio de la realidad económica como valladar  para el reconocimiento de una exención subjetiva.</w:t>
      </w:r>
    </w:p>
    <w:p w14:paraId="01951439" w14:textId="56D9B214" w:rsidR="00842B27" w:rsidRPr="00842B27" w:rsidRDefault="00842B27" w:rsidP="00842B27">
      <w:pPr>
        <w:rPr>
          <w:rFonts w:ascii="Times New Roman" w:eastAsia="Times New Roman" w:hAnsi="Times New Roman" w:cs="Times New Roman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lang w:eastAsia="es-AR"/>
        </w:rPr>
        <w:t>“</w:t>
      </w:r>
      <w:r w:rsidR="00192892">
        <w:rPr>
          <w:rFonts w:ascii="Times New Roman" w:eastAsia="Times New Roman" w:hAnsi="Times New Roman" w:cs="Times New Roman"/>
          <w:b/>
          <w:bCs/>
          <w:lang w:eastAsia="es-AR"/>
        </w:rPr>
        <w:t>C.D.E.P.A.P</w:t>
      </w:r>
      <w:r w:rsidRPr="00842B27">
        <w:rPr>
          <w:rFonts w:ascii="Times New Roman" w:eastAsia="Times New Roman" w:hAnsi="Times New Roman" w:cs="Times New Roman"/>
          <w:b/>
          <w:bCs/>
          <w:lang w:eastAsia="es-AR"/>
        </w:rPr>
        <w:t>”. C</w:t>
      </w:r>
      <w:r w:rsidR="00192892">
        <w:rPr>
          <w:rFonts w:ascii="Times New Roman" w:eastAsia="Times New Roman" w:hAnsi="Times New Roman" w:cs="Times New Roman"/>
          <w:b/>
          <w:bCs/>
          <w:lang w:eastAsia="es-AR"/>
        </w:rPr>
        <w:t xml:space="preserve">FAC. </w:t>
      </w:r>
      <w:r w:rsidRPr="00842B27">
        <w:rPr>
          <w:rFonts w:ascii="Times New Roman" w:eastAsia="Times New Roman" w:hAnsi="Times New Roman" w:cs="Times New Roman"/>
          <w:b/>
          <w:bCs/>
          <w:lang w:eastAsia="es-AR"/>
        </w:rPr>
        <w:t xml:space="preserve">Sala </w:t>
      </w:r>
      <w:r w:rsidR="00192892">
        <w:rPr>
          <w:rFonts w:ascii="Times New Roman" w:eastAsia="Times New Roman" w:hAnsi="Times New Roman" w:cs="Times New Roman"/>
          <w:b/>
          <w:bCs/>
          <w:lang w:eastAsia="es-AR"/>
        </w:rPr>
        <w:t>B</w:t>
      </w:r>
      <w:r w:rsidRPr="00842B27">
        <w:rPr>
          <w:rFonts w:ascii="Times New Roman" w:eastAsia="Times New Roman" w:hAnsi="Times New Roman" w:cs="Times New Roman"/>
          <w:b/>
          <w:bCs/>
          <w:lang w:eastAsia="es-AR"/>
        </w:rPr>
        <w:t>. 1</w:t>
      </w:r>
      <w:r w:rsidR="00192892">
        <w:rPr>
          <w:rFonts w:ascii="Times New Roman" w:eastAsia="Times New Roman" w:hAnsi="Times New Roman" w:cs="Times New Roman"/>
          <w:b/>
          <w:bCs/>
          <w:lang w:eastAsia="es-AR"/>
        </w:rPr>
        <w:t>6</w:t>
      </w:r>
      <w:r w:rsidRPr="00842B27">
        <w:rPr>
          <w:rFonts w:ascii="Times New Roman" w:eastAsia="Times New Roman" w:hAnsi="Times New Roman" w:cs="Times New Roman"/>
          <w:b/>
          <w:bCs/>
          <w:lang w:eastAsia="es-AR"/>
        </w:rPr>
        <w:t>/</w:t>
      </w:r>
      <w:r w:rsidR="00192892">
        <w:rPr>
          <w:rFonts w:ascii="Times New Roman" w:eastAsia="Times New Roman" w:hAnsi="Times New Roman" w:cs="Times New Roman"/>
          <w:b/>
          <w:bCs/>
          <w:lang w:eastAsia="es-AR"/>
        </w:rPr>
        <w:t>4</w:t>
      </w:r>
      <w:r w:rsidRPr="00842B27">
        <w:rPr>
          <w:rFonts w:ascii="Times New Roman" w:eastAsia="Times New Roman" w:hAnsi="Times New Roman" w:cs="Times New Roman"/>
          <w:b/>
          <w:bCs/>
          <w:lang w:eastAsia="es-AR"/>
        </w:rPr>
        <w:t>/2024.</w:t>
      </w:r>
    </w:p>
    <w:p w14:paraId="5429073A" w14:textId="2FA34217" w:rsidR="00842B27" w:rsidRDefault="00842B27" w:rsidP="00842B27">
      <w:pPr>
        <w:rPr>
          <w:rFonts w:ascii="Times New Roman" w:eastAsia="Times New Roman" w:hAnsi="Times New Roman" w:cs="Times New Roman"/>
          <w:i/>
          <w:iCs/>
          <w:lang w:eastAsia="es-AR"/>
        </w:rPr>
      </w:pPr>
      <w:r w:rsidRPr="00842B27">
        <w:rPr>
          <w:rFonts w:ascii="Times New Roman" w:eastAsia="Times New Roman" w:hAnsi="Times New Roman" w:cs="Times New Roman"/>
          <w:i/>
          <w:iCs/>
          <w:lang w:eastAsia="es-AR"/>
        </w:rPr>
        <w:t xml:space="preserve">Comentarios a cargo de </w:t>
      </w:r>
      <w:r w:rsidR="00192892">
        <w:rPr>
          <w:rFonts w:ascii="Times New Roman" w:eastAsia="Times New Roman" w:hAnsi="Times New Roman" w:cs="Times New Roman"/>
          <w:i/>
          <w:iCs/>
          <w:lang w:eastAsia="es-AR"/>
        </w:rPr>
        <w:t xml:space="preserve">Carlos </w:t>
      </w:r>
      <w:proofErr w:type="spellStart"/>
      <w:r w:rsidR="00192892">
        <w:rPr>
          <w:rFonts w:ascii="Times New Roman" w:eastAsia="Times New Roman" w:hAnsi="Times New Roman" w:cs="Times New Roman"/>
          <w:i/>
          <w:iCs/>
          <w:lang w:eastAsia="es-AR"/>
        </w:rPr>
        <w:t>Tobio</w:t>
      </w:r>
      <w:proofErr w:type="spellEnd"/>
    </w:p>
    <w:p w14:paraId="0EFF7A02" w14:textId="77777777" w:rsidR="00192892" w:rsidRDefault="00192892" w:rsidP="00842B27">
      <w:pPr>
        <w:rPr>
          <w:rFonts w:ascii="Times New Roman" w:eastAsia="Times New Roman" w:hAnsi="Times New Roman" w:cs="Times New Roman"/>
          <w:i/>
          <w:iCs/>
          <w:lang w:eastAsia="es-AR"/>
        </w:rPr>
      </w:pPr>
    </w:p>
    <w:p w14:paraId="46092B7A" w14:textId="77777777" w:rsidR="00192892" w:rsidRPr="00842B27" w:rsidRDefault="00192892" w:rsidP="00842B27">
      <w:pPr>
        <w:rPr>
          <w:rFonts w:ascii="Times New Roman" w:eastAsia="Times New Roman" w:hAnsi="Times New Roman" w:cs="Times New Roman"/>
          <w:lang w:eastAsia="es-AR"/>
        </w:rPr>
      </w:pPr>
    </w:p>
    <w:p w14:paraId="4507251F" w14:textId="4CDC9A1E" w:rsidR="00842B27" w:rsidRPr="00842B27" w:rsidRDefault="00842B27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2.-</w:t>
      </w:r>
      <w:r w:rsidRPr="00842B27">
        <w:rPr>
          <w:rFonts w:ascii="Times New Roman" w:eastAsia="Times New Roman" w:hAnsi="Times New Roman" w:cs="Times New Roman"/>
          <w:color w:val="26282A"/>
          <w:lang w:eastAsia="es-AR"/>
        </w:rPr>
        <w:t>    </w:t>
      </w:r>
      <w:r w:rsidR="00A474D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La suspensión en los registros y la vías de hecho.</w:t>
      </w:r>
    </w:p>
    <w:p w14:paraId="3E27E310" w14:textId="7AEFA6AA" w:rsidR="00842B27" w:rsidRPr="00842B27" w:rsidRDefault="00A474D7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Cooperativa Farmacéutica de Provisión y Consumo Alberdi LTDA. S/Amparo. Ley 16.986. JFT N° 1. 30/5/2024</w:t>
      </w:r>
    </w:p>
    <w:p w14:paraId="2DB00E09" w14:textId="05AF42D3" w:rsidR="00E8152D" w:rsidRDefault="00842B27" w:rsidP="00842B27">
      <w:pPr>
        <w:shd w:val="clear" w:color="auto" w:fill="FFFFFF"/>
        <w:rPr>
          <w:rFonts w:ascii="Times New Roman" w:eastAsia="Times New Roman" w:hAnsi="Times New Roman" w:cs="Times New Roman"/>
          <w:i/>
          <w:iCs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 xml:space="preserve">Comentarios a cargo de </w:t>
      </w:r>
      <w:r w:rsidR="00A474D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 xml:space="preserve">Leandro </w:t>
      </w:r>
      <w:proofErr w:type="spellStart"/>
      <w:r w:rsidR="00A474D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Stok</w:t>
      </w:r>
      <w:proofErr w:type="spellEnd"/>
    </w:p>
    <w:p w14:paraId="747A1B0A" w14:textId="25A8672D" w:rsidR="00842B27" w:rsidRPr="00842B27" w:rsidRDefault="00842B27" w:rsidP="00842B27">
      <w:pPr>
        <w:shd w:val="clear" w:color="auto" w:fill="FFFFFF"/>
        <w:spacing w:line="330" w:lineRule="atLeast"/>
        <w:ind w:left="709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</w:p>
    <w:p w14:paraId="0B6C4C84" w14:textId="7C193156" w:rsidR="00842B27" w:rsidRDefault="00E8152D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b/>
          <w:bCs/>
          <w:color w:val="26282A"/>
          <w:lang w:eastAsia="es-AR"/>
        </w:rPr>
      </w:pP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3</w:t>
      </w:r>
      <w:r w:rsidR="00842B27"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.-</w:t>
      </w:r>
      <w:r w:rsidR="00842B27" w:rsidRPr="00842B27">
        <w:rPr>
          <w:rFonts w:ascii="Times New Roman" w:eastAsia="Times New Roman" w:hAnsi="Times New Roman" w:cs="Times New Roman"/>
          <w:color w:val="26282A"/>
          <w:lang w:eastAsia="es-AR"/>
        </w:rPr>
        <w:t>   </w:t>
      </w:r>
      <w:r w:rsidR="00842B27"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Proyecto de </w:t>
      </w:r>
      <w:r w:rsidR="00A474D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Blanqueo.</w:t>
      </w:r>
      <w:r w:rsidR="00842B27"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Aspectos Generales.</w:t>
      </w:r>
    </w:p>
    <w:p w14:paraId="6148ECE3" w14:textId="77777777" w:rsidR="00E8152D" w:rsidRDefault="00E8152D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b/>
          <w:bCs/>
          <w:color w:val="26282A"/>
          <w:lang w:eastAsia="es-AR"/>
        </w:rPr>
      </w:pPr>
    </w:p>
    <w:p w14:paraId="12EE45D6" w14:textId="03F36D34" w:rsidR="00E8152D" w:rsidRDefault="00E8152D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b/>
          <w:bCs/>
          <w:color w:val="26282A"/>
          <w:lang w:eastAsia="es-AR"/>
        </w:rPr>
      </w:pP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4.- Vinculación entre las acciones declarativas de certeza y las apelaciones </w:t>
      </w:r>
      <w:r w:rsidR="00320910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que tramitan ante </w:t>
      </w: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el Tribunal </w:t>
      </w:r>
      <w:r w:rsidR="00320910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Fiscal de la Nación. Procedencia de la excepción de litispendencia en un caso de Aporte Solidario.</w:t>
      </w:r>
    </w:p>
    <w:p w14:paraId="22896F6C" w14:textId="2E39D00F" w:rsidR="00320910" w:rsidRDefault="00320910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b/>
          <w:bCs/>
          <w:color w:val="26282A"/>
          <w:lang w:eastAsia="es-A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Yubrin</w:t>
      </w:r>
      <w:proofErr w:type="spellEnd"/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Eduardo </w:t>
      </w:r>
      <w:proofErr w:type="spellStart"/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Moises</w:t>
      </w:r>
      <w:proofErr w:type="spellEnd"/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a/apelación. TFN. Sala C. 21/5/24</w:t>
      </w:r>
    </w:p>
    <w:p w14:paraId="69188512" w14:textId="1C04735C" w:rsidR="00320910" w:rsidRDefault="00320910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i/>
          <w:iCs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 xml:space="preserve">Comentarios a cargo de </w:t>
      </w:r>
      <w:r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 xml:space="preserve">Claudio García </w:t>
      </w:r>
      <w:proofErr w:type="spellStart"/>
      <w:r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Sinagra</w:t>
      </w:r>
      <w:proofErr w:type="spellEnd"/>
      <w:r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.</w:t>
      </w:r>
    </w:p>
    <w:p w14:paraId="7D463A13" w14:textId="77777777" w:rsidR="00320910" w:rsidRDefault="00320910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i/>
          <w:iCs/>
          <w:color w:val="26282A"/>
          <w:lang w:eastAsia="es-AR"/>
        </w:rPr>
      </w:pPr>
    </w:p>
    <w:p w14:paraId="7316BED5" w14:textId="77777777" w:rsidR="00320910" w:rsidRDefault="00320910" w:rsidP="00320910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b/>
          <w:bCs/>
          <w:color w:val="26282A"/>
          <w:lang w:eastAsia="es-AR"/>
        </w:rPr>
      </w:pPr>
      <w:r w:rsidRPr="00320910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5.- </w:t>
      </w: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Competencia federal en materia de medidas cautelares contra la Comisión Arbitral. Las medidas para mejor proveer y la precautelar. ¿No todo lo que reluce es oro?</w:t>
      </w:r>
    </w:p>
    <w:p w14:paraId="54C01D6C" w14:textId="16B62807" w:rsidR="00842B27" w:rsidRDefault="00320910" w:rsidP="00320910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b/>
          <w:bCs/>
          <w:color w:val="26282A"/>
          <w:lang w:eastAsia="es-AR"/>
        </w:rPr>
      </w:pP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Fideicomiso Solares de Korn c/Comisión Arbitral</w:t>
      </w:r>
      <w:r w:rsidR="0049362D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s/Proceso de Conocimiento. CNCAF</w:t>
      </w:r>
      <w:r w:rsidR="0049362D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. Sala I. 23/5/24. Adeco Agropecuaria S.A. c/Comisión Arbitral</w:t>
      </w:r>
      <w:r w:rsidR="00842B27"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 </w:t>
      </w:r>
      <w:r w:rsidR="0049362D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s/Proceso de Conocimiento. CNCAF. Sala </w:t>
      </w:r>
      <w:r w:rsidR="00235B85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II. 7/5/24</w:t>
      </w:r>
    </w:p>
    <w:p w14:paraId="4ABFE1EB" w14:textId="378DF2DF" w:rsidR="0049362D" w:rsidRDefault="0049362D" w:rsidP="0049362D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i/>
          <w:iCs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 xml:space="preserve">Comentarios a cargo de </w:t>
      </w:r>
      <w:r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 xml:space="preserve">Lucas </w:t>
      </w:r>
      <w:proofErr w:type="spellStart"/>
      <w:r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Rebecchi</w:t>
      </w:r>
      <w:proofErr w:type="spellEnd"/>
      <w:r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 xml:space="preserve"> y Andrea Picasso</w:t>
      </w:r>
      <w:r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.</w:t>
      </w:r>
    </w:p>
    <w:p w14:paraId="0BF99116" w14:textId="77777777" w:rsidR="0049362D" w:rsidRDefault="0049362D" w:rsidP="0049362D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i/>
          <w:iCs/>
          <w:color w:val="26282A"/>
          <w:lang w:eastAsia="es-AR"/>
        </w:rPr>
      </w:pPr>
    </w:p>
    <w:p w14:paraId="7FDCDD0C" w14:textId="109536EB" w:rsidR="0049362D" w:rsidRPr="00842B27" w:rsidRDefault="0049362D" w:rsidP="0049362D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6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.- "</w:t>
      </w:r>
      <w:proofErr w:type="spellStart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Canna</w:t>
      </w:r>
      <w:proofErr w:type="spellEnd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Melis SRL y otro c/Provincia de Córdoba- Plena Jurisdicción” Sentencia del TSJ de la Provincia de Córdoba- 22/2/2024</w:t>
      </w: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(pendiente de reunión anterior)</w:t>
      </w:r>
    </w:p>
    <w:p w14:paraId="5718FFD5" w14:textId="77777777" w:rsidR="0049362D" w:rsidRPr="00842B27" w:rsidRDefault="0049362D" w:rsidP="0049362D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b/>
          <w:bCs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lastRenderedPageBreak/>
        <w:t> La importancia del procedimiento ante la fiscalización y la invalidación de la determinación sobre base presunta. Rechazo del ajuste fiscal. Declaración de nulidad de los actos administrativos de determinación de oficio.</w:t>
      </w:r>
    </w:p>
    <w:p w14:paraId="751B6C90" w14:textId="47688207" w:rsidR="0049362D" w:rsidRPr="00842B27" w:rsidRDefault="0049362D" w:rsidP="0049362D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Comentarios a</w:t>
      </w:r>
      <w:r w:rsidRPr="00842B27">
        <w:rPr>
          <w:rFonts w:ascii="Times New Roman" w:eastAsia="Times New Roman" w:hAnsi="Times New Roman" w:cs="Times New Roman"/>
          <w:color w:val="26282A"/>
          <w:lang w:eastAsia="es-AR"/>
        </w:rPr>
        <w:t> </w:t>
      </w:r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 xml:space="preserve">cargo de Julieta </w:t>
      </w:r>
      <w:proofErr w:type="spellStart"/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Luchessi</w:t>
      </w:r>
      <w:proofErr w:type="spellEnd"/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.</w:t>
      </w:r>
    </w:p>
    <w:p w14:paraId="3820B684" w14:textId="77777777" w:rsidR="0049362D" w:rsidRPr="00842B27" w:rsidRDefault="0049362D" w:rsidP="0049362D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</w:p>
    <w:p w14:paraId="5A06B680" w14:textId="76ABF496" w:rsidR="0049362D" w:rsidRPr="00842B27" w:rsidRDefault="0049362D" w:rsidP="0049362D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7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.- Rechazo medida cautelar. Acción Declarativa. Provincia de Buenos Aires. </w:t>
      </w: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Análisis de los requisitos de procedencia de medidas cautelares en planteo relativo a</w:t>
      </w: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l</w:t>
      </w: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aumento de 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Impuesto Inmobiliario.</w:t>
      </w: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(pendiente de reunión anterior)</w:t>
      </w:r>
    </w:p>
    <w:p w14:paraId="4E943074" w14:textId="77777777" w:rsidR="0049362D" w:rsidRPr="00842B27" w:rsidRDefault="0049362D" w:rsidP="0049362D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“Arechavala Agustín Julián y otros c/ Agencia de Recaudación de la provincia de Buenos Aires s/ pretensión declarativa”, Juzgado Contencioso Administrativo </w:t>
      </w:r>
      <w:proofErr w:type="spellStart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N°</w:t>
      </w:r>
      <w:proofErr w:type="spellEnd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1 de la Plata, 22/04/2024.</w:t>
      </w:r>
    </w:p>
    <w:p w14:paraId="7FE62F89" w14:textId="2B1347AA" w:rsidR="0049362D" w:rsidRPr="00842B27" w:rsidRDefault="0049362D" w:rsidP="0049362D">
      <w:pPr>
        <w:shd w:val="clear" w:color="auto" w:fill="FFFFFF"/>
        <w:spacing w:line="330" w:lineRule="atLeast"/>
        <w:ind w:left="709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color w:val="26282A"/>
          <w:lang w:eastAsia="es-AR"/>
        </w:rPr>
        <w:t> 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  </w:t>
      </w:r>
    </w:p>
    <w:p w14:paraId="3CBA9FEB" w14:textId="682ABA60" w:rsidR="0049362D" w:rsidRPr="00842B27" w:rsidRDefault="0049362D" w:rsidP="0049362D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8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.-</w:t>
      </w:r>
      <w:r w:rsidRPr="00842B27">
        <w:rPr>
          <w:rFonts w:ascii="Times New Roman" w:eastAsia="Times New Roman" w:hAnsi="Times New Roman" w:cs="Times New Roman"/>
          <w:color w:val="26282A"/>
          <w:lang w:eastAsia="es-AR"/>
        </w:rPr>
        <w:t>   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Medida cautelar. Instancia originaria. Remisión a precedentes. Examen de requisitos de procedencia de las medidas cautelares. Disidencia del Dr. </w:t>
      </w:r>
      <w:proofErr w:type="spellStart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Rosatti</w:t>
      </w:r>
      <w:proofErr w:type="spellEnd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.</w:t>
      </w:r>
      <w:r w:rsidRPr="0049362D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(pendiente de reunión anterior)</w:t>
      </w:r>
    </w:p>
    <w:p w14:paraId="5E95CBAB" w14:textId="08F2A364" w:rsidR="0049362D" w:rsidRPr="00842B27" w:rsidRDefault="0049362D" w:rsidP="0049362D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“Nueva </w:t>
      </w:r>
      <w:proofErr w:type="spellStart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Chevallier</w:t>
      </w:r>
      <w:proofErr w:type="spellEnd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S.A. c/ La Pampa, Provincia de s/ acción declarativa de inconstitucionalidad.” CSJN, 30/4/2024.</w:t>
      </w:r>
    </w:p>
    <w:p w14:paraId="2632A47C" w14:textId="7EB4594A" w:rsidR="0049362D" w:rsidRDefault="0049362D" w:rsidP="0049362D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i/>
          <w:iCs/>
          <w:color w:val="26282A"/>
          <w:lang w:eastAsia="es-AR"/>
        </w:rPr>
      </w:pPr>
      <w:r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Comentarios a cargo de Federico Ochoa.</w:t>
      </w:r>
    </w:p>
    <w:p w14:paraId="497411F5" w14:textId="77777777" w:rsidR="00611541" w:rsidRDefault="00611541" w:rsidP="0049362D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i/>
          <w:iCs/>
          <w:color w:val="26282A"/>
          <w:lang w:eastAsia="es-AR"/>
        </w:rPr>
      </w:pPr>
    </w:p>
    <w:p w14:paraId="5F9CEF63" w14:textId="2D9383F0" w:rsidR="00611541" w:rsidRPr="00842B27" w:rsidRDefault="00611541" w:rsidP="00611541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9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.-</w:t>
      </w:r>
      <w:r w:rsidRPr="00842B27">
        <w:rPr>
          <w:rFonts w:ascii="Times New Roman" w:eastAsia="Times New Roman" w:hAnsi="Times New Roman" w:cs="Times New Roman"/>
          <w:color w:val="26282A"/>
          <w:lang w:eastAsia="es-AR"/>
        </w:rPr>
        <w:t>   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Medida</w:t>
      </w:r>
      <w:r w:rsidR="00235B85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s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cautelar</w:t>
      </w:r>
      <w:r w:rsidR="00235B85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es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Procedencia de la vía extraordinaria. Examen de las circunstancias tenidas en miras para reponer una medida cautelar</w:t>
      </w:r>
      <w:r w:rsidR="00235B85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y un caso de “contradicción que descalifica el fallo”.</w:t>
      </w: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</w:t>
      </w:r>
    </w:p>
    <w:p w14:paraId="2298A4AC" w14:textId="56B71A12" w:rsidR="00611541" w:rsidRPr="00842B27" w:rsidRDefault="00611541" w:rsidP="00611541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“</w:t>
      </w: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Tabacalera Sarandí 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S.A. c/ </w:t>
      </w: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EN- AFIP- DGI 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s/ </w:t>
      </w: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inc. de medida cautelar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.” CSJN, </w:t>
      </w: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28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/</w:t>
      </w: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5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/2024.</w:t>
      </w:r>
      <w:r w:rsidR="00235B85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“</w:t>
      </w:r>
      <w:proofErr w:type="spellStart"/>
      <w:r w:rsidR="00235B85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Bronway</w:t>
      </w:r>
      <w:proofErr w:type="spellEnd"/>
      <w:r w:rsidR="00235B85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</w:t>
      </w:r>
      <w:proofErr w:type="spellStart"/>
      <w:r w:rsidR="00235B85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Technology</w:t>
      </w:r>
      <w:proofErr w:type="spellEnd"/>
      <w:r w:rsidR="00235B85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S.A. c/AFIP s/inc. de apelación”. CSJN. 4/6/24.</w:t>
      </w:r>
    </w:p>
    <w:p w14:paraId="637376AE" w14:textId="77777777" w:rsidR="00611541" w:rsidRDefault="00611541" w:rsidP="0049362D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i/>
          <w:iCs/>
          <w:color w:val="26282A"/>
          <w:lang w:eastAsia="es-AR"/>
        </w:rPr>
      </w:pPr>
    </w:p>
    <w:p w14:paraId="1D796D19" w14:textId="77777777" w:rsidR="00611541" w:rsidRDefault="00611541" w:rsidP="0049362D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i/>
          <w:iCs/>
          <w:color w:val="26282A"/>
          <w:lang w:eastAsia="es-AR"/>
        </w:rPr>
      </w:pPr>
    </w:p>
    <w:p w14:paraId="02384C30" w14:textId="77777777" w:rsidR="00611541" w:rsidRPr="0049362D" w:rsidRDefault="00611541" w:rsidP="0049362D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i/>
          <w:iCs/>
          <w:color w:val="26282A"/>
          <w:lang w:eastAsia="es-AR"/>
        </w:rPr>
      </w:pPr>
    </w:p>
    <w:p w14:paraId="08A6E63B" w14:textId="77777777" w:rsidR="0049362D" w:rsidRPr="00320910" w:rsidRDefault="0049362D" w:rsidP="00320910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b/>
          <w:bCs/>
          <w:color w:val="26282A"/>
          <w:lang w:eastAsia="es-AR"/>
        </w:rPr>
      </w:pPr>
    </w:p>
    <w:p w14:paraId="0FBEB0F9" w14:textId="77777777" w:rsidR="004F02D2" w:rsidRPr="00842B27" w:rsidRDefault="004F02D2" w:rsidP="00842B27">
      <w:pPr>
        <w:shd w:val="clear" w:color="auto" w:fill="FFFFFF"/>
        <w:spacing w:line="330" w:lineRule="atLeast"/>
        <w:ind w:left="720"/>
        <w:jc w:val="both"/>
        <w:rPr>
          <w:rFonts w:ascii="Times New Roman" w:hAnsi="Times New Roman" w:cs="Times New Roman"/>
        </w:rPr>
      </w:pPr>
    </w:p>
    <w:sectPr w:rsidR="004F02D2" w:rsidRPr="00842B27" w:rsidSect="00D91927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3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1EC"/>
    <w:rsid w:val="000071EC"/>
    <w:rsid w:val="00192892"/>
    <w:rsid w:val="00235B85"/>
    <w:rsid w:val="00320910"/>
    <w:rsid w:val="003E4107"/>
    <w:rsid w:val="0049362D"/>
    <w:rsid w:val="004F02D2"/>
    <w:rsid w:val="00611541"/>
    <w:rsid w:val="00842B27"/>
    <w:rsid w:val="00A345A7"/>
    <w:rsid w:val="00A474D7"/>
    <w:rsid w:val="00D91927"/>
    <w:rsid w:val="00E8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0BE58"/>
  <w15:docId w15:val="{8CAE71D1-E02F-0747-96C7-FBF140235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71E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2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6001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413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3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86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01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7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47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894951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4232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511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CERSOFIOS</dc:creator>
  <cp:lastModifiedBy>MacBook Air</cp:lastModifiedBy>
  <cp:revision>4</cp:revision>
  <dcterms:created xsi:type="dcterms:W3CDTF">2024-06-04T11:42:00Z</dcterms:created>
  <dcterms:modified xsi:type="dcterms:W3CDTF">2024-06-05T22:16:00Z</dcterms:modified>
</cp:coreProperties>
</file>