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8A6C870" w14:textId="77777777" w:rsidR="00B27A34" w:rsidRPr="00B27A34" w:rsidRDefault="00B27A34" w:rsidP="00B27A34">
      <w:pPr>
        <w:spacing w:line="330" w:lineRule="atLeast"/>
        <w:jc w:val="both"/>
        <w:rPr>
          <w:rFonts w:ascii="Times New Roman" w:eastAsia="Times New Roman" w:hAnsi="Times New Roman" w:cs="Times New Roman"/>
          <w:color w:val="26282A"/>
          <w:sz w:val="24"/>
          <w:szCs w:val="24"/>
          <w:shd w:val="clear" w:color="auto" w:fill="FFFFFF"/>
          <w:lang w:eastAsia="es-ES_tradnl"/>
        </w:rPr>
      </w:pPr>
      <w:r w:rsidRPr="00B27A34">
        <w:rPr>
          <w:rFonts w:ascii="Times New Roman" w:eastAsia="Times New Roman" w:hAnsi="Times New Roman" w:cs="Times New Roman"/>
          <w:b/>
          <w:bCs/>
          <w:color w:val="26282A"/>
          <w:sz w:val="24"/>
          <w:szCs w:val="24"/>
          <w:shd w:val="clear" w:color="auto" w:fill="FFFFFF"/>
          <w:lang w:eastAsia="es-ES_tradnl"/>
        </w:rPr>
        <w:t>Estimados Miembros,</w:t>
      </w:r>
    </w:p>
    <w:p w14:paraId="11644489" w14:textId="77777777" w:rsidR="00B27A34" w:rsidRPr="00B27A34" w:rsidRDefault="00B27A34" w:rsidP="00B27A34">
      <w:pPr>
        <w:spacing w:line="330" w:lineRule="atLeast"/>
        <w:jc w:val="both"/>
        <w:rPr>
          <w:rFonts w:ascii="Times New Roman" w:eastAsia="Times New Roman" w:hAnsi="Times New Roman" w:cs="Times New Roman"/>
          <w:color w:val="26282A"/>
          <w:sz w:val="24"/>
          <w:szCs w:val="24"/>
          <w:shd w:val="clear" w:color="auto" w:fill="FFFFFF"/>
          <w:lang w:eastAsia="es-ES_tradnl"/>
        </w:rPr>
      </w:pPr>
      <w:r w:rsidRPr="00B27A34">
        <w:rPr>
          <w:rFonts w:ascii="Times New Roman" w:eastAsia="Times New Roman" w:hAnsi="Times New Roman" w:cs="Times New Roman"/>
          <w:color w:val="26282A"/>
          <w:sz w:val="24"/>
          <w:szCs w:val="24"/>
          <w:shd w:val="clear" w:color="auto" w:fill="FFFFFF"/>
          <w:lang w:val="es-ES" w:eastAsia="es-ES_tradnl"/>
        </w:rPr>
        <w:t>Los invitamos a sumarse la Comisión de Procedimientos Tributarios, en la que –si bien se partirá de la base de comentar y analizar decisiones jurisdiccionales- también compartiremos y debatiremos: (i) novedades legislativas, (</w:t>
      </w:r>
      <w:proofErr w:type="spellStart"/>
      <w:r w:rsidRPr="00B27A34">
        <w:rPr>
          <w:rFonts w:ascii="Times New Roman" w:eastAsia="Times New Roman" w:hAnsi="Times New Roman" w:cs="Times New Roman"/>
          <w:color w:val="26282A"/>
          <w:sz w:val="24"/>
          <w:szCs w:val="24"/>
          <w:shd w:val="clear" w:color="auto" w:fill="FFFFFF"/>
          <w:lang w:val="es-ES" w:eastAsia="es-ES_tradnl"/>
        </w:rPr>
        <w:t>ii</w:t>
      </w:r>
      <w:proofErr w:type="spellEnd"/>
      <w:r w:rsidRPr="00B27A34">
        <w:rPr>
          <w:rFonts w:ascii="Times New Roman" w:eastAsia="Times New Roman" w:hAnsi="Times New Roman" w:cs="Times New Roman"/>
          <w:color w:val="26282A"/>
          <w:sz w:val="24"/>
          <w:szCs w:val="24"/>
          <w:shd w:val="clear" w:color="auto" w:fill="FFFFFF"/>
          <w:lang w:val="es-ES" w:eastAsia="es-ES_tradnl"/>
        </w:rPr>
        <w:t>) dictámenes de diversos organismos, (</w:t>
      </w:r>
      <w:proofErr w:type="spellStart"/>
      <w:r w:rsidRPr="00B27A34">
        <w:rPr>
          <w:rFonts w:ascii="Times New Roman" w:eastAsia="Times New Roman" w:hAnsi="Times New Roman" w:cs="Times New Roman"/>
          <w:color w:val="26282A"/>
          <w:sz w:val="24"/>
          <w:szCs w:val="24"/>
          <w:shd w:val="clear" w:color="auto" w:fill="FFFFFF"/>
          <w:lang w:val="es-ES" w:eastAsia="es-ES_tradnl"/>
        </w:rPr>
        <w:t>iii</w:t>
      </w:r>
      <w:proofErr w:type="spellEnd"/>
      <w:r w:rsidRPr="00B27A34">
        <w:rPr>
          <w:rFonts w:ascii="Times New Roman" w:eastAsia="Times New Roman" w:hAnsi="Times New Roman" w:cs="Times New Roman"/>
          <w:color w:val="26282A"/>
          <w:sz w:val="24"/>
          <w:szCs w:val="24"/>
          <w:shd w:val="clear" w:color="auto" w:fill="FFFFFF"/>
          <w:lang w:val="es-ES" w:eastAsia="es-ES_tradnl"/>
        </w:rPr>
        <w:t>) proyectos legislativos, y; (</w:t>
      </w:r>
      <w:proofErr w:type="spellStart"/>
      <w:r w:rsidRPr="00B27A34">
        <w:rPr>
          <w:rFonts w:ascii="Times New Roman" w:eastAsia="Times New Roman" w:hAnsi="Times New Roman" w:cs="Times New Roman"/>
          <w:color w:val="26282A"/>
          <w:sz w:val="24"/>
          <w:szCs w:val="24"/>
          <w:shd w:val="clear" w:color="auto" w:fill="FFFFFF"/>
          <w:lang w:val="es-ES" w:eastAsia="es-ES_tradnl"/>
        </w:rPr>
        <w:t>iv</w:t>
      </w:r>
      <w:proofErr w:type="spellEnd"/>
      <w:r w:rsidRPr="00B27A34">
        <w:rPr>
          <w:rFonts w:ascii="Times New Roman" w:eastAsia="Times New Roman" w:hAnsi="Times New Roman" w:cs="Times New Roman"/>
          <w:color w:val="26282A"/>
          <w:sz w:val="24"/>
          <w:szCs w:val="24"/>
          <w:shd w:val="clear" w:color="auto" w:fill="FFFFFF"/>
          <w:lang w:val="es-ES" w:eastAsia="es-ES_tradnl"/>
        </w:rPr>
        <w:t>) cualquier otro asunto que resulte de interés de los asistentes.</w:t>
      </w:r>
    </w:p>
    <w:p w14:paraId="40C81804" w14:textId="2FD63CB9" w:rsidR="00B27A34" w:rsidRPr="00B27A34" w:rsidRDefault="00B27A34" w:rsidP="00B27A34">
      <w:pPr>
        <w:spacing w:line="330" w:lineRule="atLeast"/>
        <w:jc w:val="both"/>
        <w:rPr>
          <w:rFonts w:ascii="Times New Roman" w:eastAsia="Times New Roman" w:hAnsi="Times New Roman" w:cs="Times New Roman"/>
          <w:color w:val="26282A"/>
          <w:sz w:val="24"/>
          <w:szCs w:val="24"/>
          <w:shd w:val="clear" w:color="auto" w:fill="FFFFFF"/>
          <w:lang w:eastAsia="es-ES_tradnl"/>
        </w:rPr>
      </w:pPr>
      <w:r w:rsidRPr="00B27A34">
        <w:rPr>
          <w:rFonts w:ascii="Times New Roman" w:eastAsia="Times New Roman" w:hAnsi="Times New Roman" w:cs="Times New Roman"/>
          <w:color w:val="26282A"/>
          <w:sz w:val="24"/>
          <w:szCs w:val="24"/>
          <w:shd w:val="clear" w:color="auto" w:fill="FFFFFF"/>
          <w:lang w:val="es-ES" w:eastAsia="es-ES_tradnl"/>
        </w:rPr>
        <w:t>El temario sugerido para esta reunión es el siguiente:</w:t>
      </w:r>
      <w:r w:rsidRPr="00B27A34">
        <w:rPr>
          <w:rFonts w:ascii="Times New Roman" w:eastAsia="Times New Roman" w:hAnsi="Times New Roman" w:cs="Times New Roman"/>
          <w:i/>
          <w:iCs/>
          <w:color w:val="26282A"/>
          <w:sz w:val="24"/>
          <w:szCs w:val="24"/>
          <w:shd w:val="clear" w:color="auto" w:fill="FFFFFF"/>
          <w:lang w:eastAsia="es-ES_tradnl"/>
        </w:rPr>
        <w:t> </w:t>
      </w:r>
    </w:p>
    <w:p w14:paraId="7F5AC78F" w14:textId="77777777" w:rsidR="00B27A34" w:rsidRPr="00B27A34" w:rsidRDefault="00B27A34" w:rsidP="000B5F58">
      <w:pPr>
        <w:pStyle w:val="NormalWeb"/>
        <w:shd w:val="clear" w:color="auto" w:fill="FFFFFF"/>
        <w:spacing w:before="0" w:beforeAutospacing="0" w:after="0" w:afterAutospacing="0"/>
        <w:ind w:left="720"/>
        <w:jc w:val="both"/>
        <w:rPr>
          <w:b/>
          <w:bCs/>
          <w:color w:val="26282A"/>
        </w:rPr>
      </w:pPr>
    </w:p>
    <w:p w14:paraId="7C766593" w14:textId="2DADCB3E" w:rsidR="00AC07D2" w:rsidRPr="00B27A34" w:rsidRDefault="0041114F" w:rsidP="000B5F58">
      <w:pPr>
        <w:pStyle w:val="NormalWeb"/>
        <w:shd w:val="clear" w:color="auto" w:fill="FFFFFF"/>
        <w:spacing w:before="0" w:beforeAutospacing="0" w:after="0" w:afterAutospacing="0"/>
        <w:ind w:left="720"/>
        <w:jc w:val="both"/>
        <w:rPr>
          <w:b/>
          <w:bCs/>
          <w:color w:val="26282A"/>
        </w:rPr>
      </w:pPr>
      <w:r w:rsidRPr="00B27A34">
        <w:rPr>
          <w:b/>
          <w:bCs/>
          <w:color w:val="26282A"/>
        </w:rPr>
        <w:t>1</w:t>
      </w:r>
      <w:r w:rsidR="00F54BD6" w:rsidRPr="00B27A34">
        <w:rPr>
          <w:b/>
          <w:bCs/>
          <w:color w:val="26282A"/>
        </w:rPr>
        <w:t>.</w:t>
      </w:r>
      <w:r w:rsidR="00AC07D2" w:rsidRPr="00B27A34">
        <w:rPr>
          <w:b/>
          <w:bCs/>
          <w:color w:val="26282A"/>
        </w:rPr>
        <w:t>-</w:t>
      </w:r>
      <w:r w:rsidR="00AA1CA2" w:rsidRPr="00B27A34">
        <w:rPr>
          <w:b/>
          <w:bCs/>
          <w:color w:val="26282A"/>
        </w:rPr>
        <w:t xml:space="preserve"> </w:t>
      </w:r>
      <w:r w:rsidR="004E32F4" w:rsidRPr="00B27A34">
        <w:rPr>
          <w:b/>
          <w:bCs/>
          <w:color w:val="26282A"/>
        </w:rPr>
        <w:t xml:space="preserve">Procedencia Acción Declarativa de Certeza. Acreditación de la confiscatoriedad. </w:t>
      </w:r>
    </w:p>
    <w:p w14:paraId="6523AA84" w14:textId="77777777" w:rsidR="000B5F58" w:rsidRPr="00B27A34" w:rsidRDefault="000B5F58" w:rsidP="000B5F58">
      <w:pPr>
        <w:pStyle w:val="NormalWeb"/>
        <w:shd w:val="clear" w:color="auto" w:fill="FFFFFF"/>
        <w:spacing w:before="0" w:beforeAutospacing="0" w:after="0" w:afterAutospacing="0"/>
        <w:ind w:left="720"/>
        <w:jc w:val="both"/>
        <w:rPr>
          <w:b/>
          <w:bCs/>
          <w:color w:val="26282A"/>
        </w:rPr>
      </w:pPr>
    </w:p>
    <w:p w14:paraId="24517C5F" w14:textId="79D1FA7A" w:rsidR="00AC07D2" w:rsidRPr="00B27A34" w:rsidRDefault="00AC07D2" w:rsidP="000B5F58">
      <w:pPr>
        <w:pStyle w:val="NormalWeb"/>
        <w:shd w:val="clear" w:color="auto" w:fill="FFFFFF"/>
        <w:spacing w:before="0" w:beforeAutospacing="0" w:after="0" w:afterAutospacing="0"/>
        <w:ind w:left="720"/>
        <w:jc w:val="both"/>
        <w:rPr>
          <w:b/>
          <w:bCs/>
          <w:color w:val="26282A"/>
        </w:rPr>
      </w:pPr>
      <w:r w:rsidRPr="00B27A34">
        <w:rPr>
          <w:b/>
          <w:bCs/>
          <w:color w:val="26282A"/>
        </w:rPr>
        <w:t>“</w:t>
      </w:r>
      <w:r w:rsidR="006144C4" w:rsidRPr="00B27A34">
        <w:rPr>
          <w:b/>
          <w:bCs/>
          <w:color w:val="26282A"/>
        </w:rPr>
        <w:t>Mármoles</w:t>
      </w:r>
      <w:r w:rsidRPr="00B27A34">
        <w:rPr>
          <w:b/>
          <w:bCs/>
          <w:color w:val="26282A"/>
        </w:rPr>
        <w:t xml:space="preserve"> y Granitos de San Luis c/ Estado Nacional (Poder Ejecutivo Nacional) s/ acción mere declarativa de inconstitucionalidad”</w:t>
      </w:r>
      <w:r w:rsidR="00AA1CA2" w:rsidRPr="00B27A34">
        <w:rPr>
          <w:b/>
          <w:bCs/>
          <w:color w:val="26282A"/>
        </w:rPr>
        <w:t>. Cámara Federal de Mendoza. 11/05/2023. CSJN. 20/02/2024.</w:t>
      </w:r>
      <w:r w:rsidR="00F54BD6" w:rsidRPr="00B27A34">
        <w:rPr>
          <w:b/>
          <w:bCs/>
          <w:color w:val="26282A"/>
        </w:rPr>
        <w:t xml:space="preserve"> (pendiente de reunión anterior).</w:t>
      </w:r>
    </w:p>
    <w:p w14:paraId="651D09FF" w14:textId="77777777" w:rsidR="006144C4" w:rsidRPr="00B27A34" w:rsidRDefault="006144C4" w:rsidP="000B5F58">
      <w:pPr>
        <w:pStyle w:val="NormalWeb"/>
        <w:shd w:val="clear" w:color="auto" w:fill="FFFFFF"/>
        <w:spacing w:before="0" w:beforeAutospacing="0" w:after="0" w:afterAutospacing="0"/>
        <w:ind w:left="720"/>
        <w:jc w:val="both"/>
        <w:rPr>
          <w:bCs/>
          <w:i/>
          <w:color w:val="26282A"/>
        </w:rPr>
      </w:pPr>
    </w:p>
    <w:p w14:paraId="26157266" w14:textId="77777777" w:rsidR="000B5F58" w:rsidRPr="00B27A34" w:rsidRDefault="000B5F58" w:rsidP="000B5F58">
      <w:pPr>
        <w:pStyle w:val="NormalWeb"/>
        <w:shd w:val="clear" w:color="auto" w:fill="FFFFFF"/>
        <w:spacing w:before="0" w:beforeAutospacing="0" w:after="0" w:afterAutospacing="0"/>
        <w:ind w:left="720"/>
        <w:jc w:val="both"/>
        <w:rPr>
          <w:bCs/>
          <w:i/>
          <w:color w:val="26282A"/>
        </w:rPr>
      </w:pPr>
      <w:r w:rsidRPr="00B27A34">
        <w:rPr>
          <w:bCs/>
          <w:i/>
          <w:color w:val="26282A"/>
        </w:rPr>
        <w:t>Comentarios a cargo de</w:t>
      </w:r>
      <w:r w:rsidR="006144C4" w:rsidRPr="00B27A34">
        <w:rPr>
          <w:bCs/>
          <w:i/>
          <w:color w:val="26282A"/>
        </w:rPr>
        <w:t xml:space="preserve"> Juan José Godoy.</w:t>
      </w:r>
    </w:p>
    <w:p w14:paraId="1FD28913" w14:textId="4C1BD2BC" w:rsidR="000B5F58" w:rsidRPr="00B27A34" w:rsidRDefault="0041114F" w:rsidP="000B5F58">
      <w:pPr>
        <w:pStyle w:val="NormalWeb"/>
        <w:shd w:val="clear" w:color="auto" w:fill="FFFFFF"/>
        <w:spacing w:after="0"/>
        <w:ind w:left="720"/>
        <w:jc w:val="both"/>
        <w:rPr>
          <w:b/>
          <w:bCs/>
          <w:color w:val="26282A"/>
        </w:rPr>
      </w:pPr>
      <w:r w:rsidRPr="00B27A34">
        <w:rPr>
          <w:b/>
          <w:bCs/>
          <w:color w:val="26282A"/>
        </w:rPr>
        <w:t>2</w:t>
      </w:r>
      <w:r w:rsidR="00F54BD6" w:rsidRPr="00B27A34">
        <w:rPr>
          <w:b/>
          <w:bCs/>
          <w:color w:val="26282A"/>
        </w:rPr>
        <w:t>.</w:t>
      </w:r>
      <w:r w:rsidR="000B5F58" w:rsidRPr="00B27A34">
        <w:rPr>
          <w:b/>
          <w:bCs/>
          <w:color w:val="26282A"/>
        </w:rPr>
        <w:t>- Admisibilidad del r</w:t>
      </w:r>
      <w:r w:rsidR="004E32F4" w:rsidRPr="00B27A34">
        <w:rPr>
          <w:b/>
          <w:bCs/>
          <w:color w:val="26282A"/>
        </w:rPr>
        <w:t>ecurso de queja.</w:t>
      </w:r>
      <w:r w:rsidR="000B5F58" w:rsidRPr="00B27A34">
        <w:rPr>
          <w:b/>
          <w:bCs/>
          <w:color w:val="26282A"/>
        </w:rPr>
        <w:t xml:space="preserve"> Doctrina de arbitrariedad</w:t>
      </w:r>
      <w:r w:rsidR="004E32F4" w:rsidRPr="00B27A34">
        <w:rPr>
          <w:b/>
          <w:bCs/>
          <w:color w:val="26282A"/>
        </w:rPr>
        <w:t>.</w:t>
      </w:r>
    </w:p>
    <w:p w14:paraId="6AE16575" w14:textId="37F4A92C" w:rsidR="00AA1CA2" w:rsidRPr="00B27A34" w:rsidRDefault="00AA1CA2" w:rsidP="000B5F58">
      <w:pPr>
        <w:pStyle w:val="NormalWeb"/>
        <w:shd w:val="clear" w:color="auto" w:fill="FFFFFF"/>
        <w:spacing w:after="0"/>
        <w:ind w:left="720"/>
        <w:jc w:val="both"/>
        <w:rPr>
          <w:b/>
          <w:bCs/>
          <w:color w:val="26282A"/>
        </w:rPr>
      </w:pPr>
      <w:r w:rsidRPr="00B27A34">
        <w:rPr>
          <w:b/>
          <w:bCs/>
          <w:color w:val="26282A"/>
        </w:rPr>
        <w:t>“Petersen Thiele y Cruz S.A. de Construcciones y Mandatos c/ Municipalidad de Vicente López s/ pretensión anulatoria.” CSJN, 30/04/2024.</w:t>
      </w:r>
      <w:r w:rsidR="00F54BD6" w:rsidRPr="00B27A34">
        <w:rPr>
          <w:b/>
          <w:bCs/>
          <w:color w:val="26282A"/>
        </w:rPr>
        <w:t xml:space="preserve"> (pendiente de reunión anterior).</w:t>
      </w:r>
    </w:p>
    <w:p w14:paraId="63FE2540" w14:textId="77777777" w:rsidR="000B5F58" w:rsidRPr="00B27A34" w:rsidRDefault="00AA1CA2" w:rsidP="000B5F58">
      <w:pPr>
        <w:pStyle w:val="NormalWeb"/>
        <w:shd w:val="clear" w:color="auto" w:fill="FFFFFF"/>
        <w:spacing w:after="0"/>
        <w:ind w:left="720"/>
        <w:jc w:val="both"/>
        <w:rPr>
          <w:bCs/>
          <w:i/>
          <w:color w:val="26282A"/>
        </w:rPr>
      </w:pPr>
      <w:r w:rsidRPr="00B27A34">
        <w:rPr>
          <w:bCs/>
          <w:i/>
          <w:color w:val="26282A"/>
        </w:rPr>
        <w:t>Comentarios a cargo de Juan José Godoy.</w:t>
      </w:r>
    </w:p>
    <w:p w14:paraId="27E7E9BC" w14:textId="72E43C7A" w:rsidR="00AA1CA2" w:rsidRPr="00B27A34" w:rsidRDefault="0041114F" w:rsidP="000B5F58">
      <w:pPr>
        <w:pStyle w:val="NormalWeb"/>
        <w:shd w:val="clear" w:color="auto" w:fill="FFFFFF"/>
        <w:spacing w:after="0"/>
        <w:ind w:left="720"/>
        <w:jc w:val="both"/>
        <w:rPr>
          <w:b/>
          <w:bCs/>
          <w:color w:val="26282A"/>
        </w:rPr>
      </w:pPr>
      <w:r w:rsidRPr="00B27A34">
        <w:rPr>
          <w:b/>
          <w:bCs/>
          <w:color w:val="26282A"/>
        </w:rPr>
        <w:t>3</w:t>
      </w:r>
      <w:r w:rsidR="00F54BD6" w:rsidRPr="00B27A34">
        <w:rPr>
          <w:b/>
          <w:bCs/>
          <w:color w:val="26282A"/>
        </w:rPr>
        <w:t>.</w:t>
      </w:r>
      <w:r w:rsidR="00AA1CA2" w:rsidRPr="00B27A34">
        <w:rPr>
          <w:b/>
          <w:bCs/>
          <w:color w:val="26282A"/>
        </w:rPr>
        <w:t>-</w:t>
      </w:r>
      <w:r w:rsidR="00F54BD6" w:rsidRPr="00B27A34">
        <w:rPr>
          <w:b/>
          <w:bCs/>
          <w:color w:val="26282A"/>
        </w:rPr>
        <w:t xml:space="preserve"> Causas ajenas a la competencia de la CSJN y la autonomía municipal. Comentarios a partir de los antecedentes “Municipalidad de Villarino c/ Provincia de Buenos Aires”. CSJN, 20/8/24 y “Municipalidad de </w:t>
      </w:r>
      <w:proofErr w:type="spellStart"/>
      <w:r w:rsidR="00F54BD6" w:rsidRPr="00B27A34">
        <w:rPr>
          <w:b/>
          <w:bCs/>
          <w:color w:val="26282A"/>
        </w:rPr>
        <w:t>Tanti</w:t>
      </w:r>
      <w:proofErr w:type="spellEnd"/>
      <w:r w:rsidR="00F54BD6" w:rsidRPr="00B27A34">
        <w:rPr>
          <w:b/>
          <w:bCs/>
          <w:color w:val="26282A"/>
        </w:rPr>
        <w:t xml:space="preserve"> c/ Provincia de Córdoba”. CSJN, 1/8/24</w:t>
      </w:r>
      <w:r w:rsidR="00EC5E1B" w:rsidRPr="00B27A34">
        <w:rPr>
          <w:b/>
          <w:bCs/>
          <w:color w:val="26282A"/>
        </w:rPr>
        <w:t>.</w:t>
      </w:r>
    </w:p>
    <w:p w14:paraId="6F073CC7" w14:textId="35D6BE67" w:rsidR="00AA1CA2" w:rsidRPr="00B27A34" w:rsidRDefault="00AA1CA2" w:rsidP="000B5F58">
      <w:pPr>
        <w:pStyle w:val="NormalWeb"/>
        <w:shd w:val="clear" w:color="auto" w:fill="FFFFFF"/>
        <w:spacing w:after="0"/>
        <w:ind w:left="720"/>
        <w:jc w:val="both"/>
        <w:rPr>
          <w:bCs/>
          <w:i/>
          <w:iCs/>
          <w:color w:val="26282A"/>
        </w:rPr>
      </w:pPr>
      <w:r w:rsidRPr="00B27A34">
        <w:rPr>
          <w:bCs/>
          <w:i/>
          <w:iCs/>
          <w:color w:val="26282A"/>
        </w:rPr>
        <w:t xml:space="preserve">Comentarios a cargo de </w:t>
      </w:r>
      <w:r w:rsidR="00F54BD6" w:rsidRPr="00B27A34">
        <w:rPr>
          <w:bCs/>
          <w:i/>
          <w:iCs/>
          <w:color w:val="26282A"/>
        </w:rPr>
        <w:t xml:space="preserve">Laura </w:t>
      </w:r>
      <w:proofErr w:type="spellStart"/>
      <w:r w:rsidR="00F54BD6" w:rsidRPr="00B27A34">
        <w:rPr>
          <w:bCs/>
          <w:i/>
          <w:iCs/>
          <w:color w:val="26282A"/>
        </w:rPr>
        <w:t>Karschenboim</w:t>
      </w:r>
      <w:proofErr w:type="spellEnd"/>
      <w:r w:rsidRPr="00B27A34">
        <w:rPr>
          <w:bCs/>
          <w:i/>
          <w:iCs/>
          <w:color w:val="26282A"/>
        </w:rPr>
        <w:t>.</w:t>
      </w:r>
    </w:p>
    <w:p w14:paraId="68C62CDA" w14:textId="0A5341A0" w:rsidR="0041114F" w:rsidRPr="00B27A34" w:rsidRDefault="0041114F" w:rsidP="00AA1CA2">
      <w:pPr>
        <w:pStyle w:val="NormalWeb"/>
        <w:shd w:val="clear" w:color="auto" w:fill="FFFFFF"/>
        <w:spacing w:after="0" w:line="276" w:lineRule="auto"/>
        <w:ind w:left="720"/>
        <w:jc w:val="both"/>
        <w:rPr>
          <w:b/>
          <w:bCs/>
          <w:color w:val="26282A"/>
        </w:rPr>
      </w:pPr>
      <w:r w:rsidRPr="00B27A34">
        <w:rPr>
          <w:b/>
          <w:bCs/>
          <w:color w:val="26282A"/>
        </w:rPr>
        <w:t>4</w:t>
      </w:r>
      <w:r w:rsidR="00F54BD6" w:rsidRPr="00B27A34">
        <w:rPr>
          <w:b/>
          <w:bCs/>
          <w:color w:val="26282A"/>
        </w:rPr>
        <w:t>.</w:t>
      </w:r>
      <w:r w:rsidRPr="00B27A34">
        <w:rPr>
          <w:b/>
          <w:bCs/>
          <w:color w:val="26282A"/>
        </w:rPr>
        <w:t xml:space="preserve">- Régimen Incentivos de Grandes Inversiones (RIGI): </w:t>
      </w:r>
    </w:p>
    <w:p w14:paraId="03B392BC" w14:textId="5CDCD8FA" w:rsidR="00AA1CA2" w:rsidRPr="00B27A34" w:rsidRDefault="0041114F" w:rsidP="0041114F">
      <w:pPr>
        <w:pStyle w:val="NormalWeb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color w:val="26282A"/>
        </w:rPr>
      </w:pPr>
      <w:r w:rsidRPr="00B27A34">
        <w:rPr>
          <w:color w:val="26282A"/>
        </w:rPr>
        <w:t>Aspectos Generales y beneficios fiscales (nacionales y jurisdiccionales).</w:t>
      </w:r>
      <w:r w:rsidR="00EC7136" w:rsidRPr="00B27A34">
        <w:rPr>
          <w:color w:val="26282A"/>
        </w:rPr>
        <w:t xml:space="preserve"> </w:t>
      </w:r>
      <w:r w:rsidR="00F54BD6" w:rsidRPr="00B27A34">
        <w:rPr>
          <w:i/>
          <w:iCs/>
          <w:color w:val="26282A"/>
        </w:rPr>
        <w:t>Comentarios a</w:t>
      </w:r>
      <w:r w:rsidR="00EC7136" w:rsidRPr="00B27A34">
        <w:rPr>
          <w:i/>
          <w:iCs/>
          <w:color w:val="26282A"/>
        </w:rPr>
        <w:t xml:space="preserve"> cargo</w:t>
      </w:r>
      <w:r w:rsidR="00F54BD6" w:rsidRPr="00B27A34">
        <w:rPr>
          <w:i/>
          <w:iCs/>
          <w:color w:val="26282A"/>
        </w:rPr>
        <w:t xml:space="preserve"> de la</w:t>
      </w:r>
      <w:r w:rsidR="00EC7136" w:rsidRPr="00B27A34">
        <w:rPr>
          <w:i/>
          <w:iCs/>
          <w:color w:val="26282A"/>
        </w:rPr>
        <w:t xml:space="preserve"> Comisión</w:t>
      </w:r>
      <w:r w:rsidR="00F54BD6" w:rsidRPr="00B27A34">
        <w:rPr>
          <w:i/>
          <w:iCs/>
          <w:color w:val="26282A"/>
        </w:rPr>
        <w:t>.</w:t>
      </w:r>
    </w:p>
    <w:p w14:paraId="40AE2649" w14:textId="5C2A24B7" w:rsidR="0041114F" w:rsidRPr="00B27A34" w:rsidRDefault="00F54BD6" w:rsidP="0041114F">
      <w:pPr>
        <w:pStyle w:val="NormalWeb"/>
        <w:numPr>
          <w:ilvl w:val="0"/>
          <w:numId w:val="1"/>
        </w:numPr>
        <w:shd w:val="clear" w:color="auto" w:fill="FFFFFF"/>
        <w:spacing w:after="0" w:line="276" w:lineRule="auto"/>
        <w:jc w:val="both"/>
        <w:rPr>
          <w:color w:val="26282A"/>
        </w:rPr>
      </w:pPr>
      <w:r w:rsidRPr="00B27A34">
        <w:rPr>
          <w:color w:val="26282A"/>
        </w:rPr>
        <w:t xml:space="preserve">Competencia federal por el art. 75 inc. 18 de la CN. Articulación entre Panel RIGI y Arbitraje. Procedimiento recursivo en materia </w:t>
      </w:r>
      <w:proofErr w:type="spellStart"/>
      <w:r w:rsidRPr="00B27A34">
        <w:rPr>
          <w:color w:val="26282A"/>
        </w:rPr>
        <w:t>infraccional</w:t>
      </w:r>
      <w:proofErr w:type="spellEnd"/>
      <w:r w:rsidRPr="00B27A34">
        <w:rPr>
          <w:color w:val="26282A"/>
        </w:rPr>
        <w:t xml:space="preserve">. </w:t>
      </w:r>
      <w:r w:rsidRPr="00B27A34">
        <w:rPr>
          <w:i/>
          <w:iCs/>
          <w:color w:val="26282A"/>
        </w:rPr>
        <w:t xml:space="preserve">Comentarios a </w:t>
      </w:r>
      <w:r w:rsidR="00EC7136" w:rsidRPr="00B27A34">
        <w:rPr>
          <w:i/>
          <w:iCs/>
          <w:color w:val="26282A"/>
        </w:rPr>
        <w:t>cargo</w:t>
      </w:r>
      <w:r w:rsidRPr="00B27A34">
        <w:rPr>
          <w:i/>
          <w:iCs/>
          <w:color w:val="26282A"/>
        </w:rPr>
        <w:t xml:space="preserve"> de María Inés Brandt, Martín </w:t>
      </w:r>
      <w:proofErr w:type="spellStart"/>
      <w:r w:rsidRPr="00B27A34">
        <w:rPr>
          <w:i/>
          <w:iCs/>
          <w:color w:val="26282A"/>
        </w:rPr>
        <w:t>Vainstein</w:t>
      </w:r>
      <w:proofErr w:type="spellEnd"/>
      <w:r w:rsidRPr="00B27A34">
        <w:rPr>
          <w:i/>
          <w:iCs/>
          <w:color w:val="26282A"/>
        </w:rPr>
        <w:t xml:space="preserve"> y Sergio Vergara.</w:t>
      </w:r>
    </w:p>
    <w:p w14:paraId="3D6E446E" w14:textId="77777777" w:rsidR="00F54BD6" w:rsidRPr="00B27A34" w:rsidRDefault="00F54BD6" w:rsidP="00F54BD6">
      <w:pPr>
        <w:pStyle w:val="NormalWeb"/>
        <w:shd w:val="clear" w:color="auto" w:fill="FFFFFF"/>
        <w:ind w:left="426"/>
        <w:rPr>
          <w:b/>
          <w:bCs/>
        </w:rPr>
      </w:pPr>
      <w:r w:rsidRPr="00B27A34">
        <w:rPr>
          <w:b/>
          <w:bCs/>
        </w:rPr>
        <w:t>5.- Reintegro de IVA por exportaciones. Carga probatoria.</w:t>
      </w:r>
    </w:p>
    <w:p w14:paraId="0CC65418" w14:textId="5038BA9B" w:rsidR="00F54BD6" w:rsidRPr="00B27A34" w:rsidRDefault="00F54BD6" w:rsidP="00F54BD6">
      <w:pPr>
        <w:pStyle w:val="NormalWeb"/>
        <w:shd w:val="clear" w:color="auto" w:fill="FFFFFF"/>
        <w:ind w:left="426"/>
      </w:pPr>
      <w:r w:rsidRPr="00B27A34">
        <w:rPr>
          <w:b/>
          <w:bCs/>
        </w:rPr>
        <w:t>“Noble Argentina SA c/EN-AFIP-DGI-RESOL 105 (RDEX) s/Dirección General Impositiva”. CNCAF. Sala V. 10/5/24.</w:t>
      </w:r>
      <w:r w:rsidRPr="00B27A34">
        <w:t xml:space="preserve">  </w:t>
      </w:r>
    </w:p>
    <w:p w14:paraId="47FA3E5E" w14:textId="0829856F" w:rsidR="00F54BD6" w:rsidRPr="00B27A34" w:rsidRDefault="00F54BD6" w:rsidP="00F54BD6">
      <w:pPr>
        <w:pStyle w:val="NormalWeb"/>
        <w:shd w:val="clear" w:color="auto" w:fill="FFFFFF"/>
        <w:ind w:left="426"/>
        <w:rPr>
          <w:i/>
          <w:iCs/>
          <w:color w:val="26282A"/>
        </w:rPr>
      </w:pPr>
      <w:r w:rsidRPr="00B27A34">
        <w:rPr>
          <w:i/>
          <w:iCs/>
          <w:color w:val="26282A"/>
        </w:rPr>
        <w:lastRenderedPageBreak/>
        <w:t>Comentarios a cargo de la Comisión.</w:t>
      </w:r>
    </w:p>
    <w:p w14:paraId="2E9FA7AC" w14:textId="4CDB06C0" w:rsidR="00F54BD6" w:rsidRPr="00B27A34" w:rsidRDefault="00F54BD6" w:rsidP="00F54BD6">
      <w:pPr>
        <w:pStyle w:val="NormalWeb"/>
        <w:shd w:val="clear" w:color="auto" w:fill="FFFFFF"/>
        <w:ind w:left="426"/>
        <w:rPr>
          <w:b/>
          <w:bCs/>
          <w:color w:val="26282A"/>
        </w:rPr>
      </w:pPr>
      <w:r w:rsidRPr="00B27A34">
        <w:rPr>
          <w:b/>
          <w:bCs/>
          <w:color w:val="26282A"/>
        </w:rPr>
        <w:t xml:space="preserve">6.- Efectos procesales de la presentación del F. 408 en el marco del Régimen de Regularización de la Ley 27.260. </w:t>
      </w:r>
    </w:p>
    <w:p w14:paraId="2A3193C1" w14:textId="30F81879" w:rsidR="00F54BD6" w:rsidRPr="00B27A34" w:rsidRDefault="00F54BD6" w:rsidP="00F54BD6">
      <w:pPr>
        <w:pStyle w:val="NormalWeb"/>
        <w:shd w:val="clear" w:color="auto" w:fill="FFFFFF"/>
        <w:ind w:left="426"/>
        <w:rPr>
          <w:b/>
          <w:bCs/>
          <w:color w:val="26282A"/>
        </w:rPr>
      </w:pPr>
      <w:r w:rsidRPr="00B27A34">
        <w:rPr>
          <w:b/>
          <w:bCs/>
          <w:color w:val="26282A"/>
        </w:rPr>
        <w:t xml:space="preserve">“DTT S.R.L. –TF 36360-I c/Dirección General Impositiva s/Recurso Directo de Organismo Externo"- CNCAF. Sala II. 16/8/24. </w:t>
      </w:r>
    </w:p>
    <w:p w14:paraId="2DB792FC" w14:textId="7D20A30A" w:rsidR="00F54BD6" w:rsidRPr="00B27A34" w:rsidRDefault="00F54BD6" w:rsidP="00F54BD6">
      <w:pPr>
        <w:pStyle w:val="NormalWeb"/>
        <w:shd w:val="clear" w:color="auto" w:fill="FFFFFF"/>
        <w:ind w:left="426"/>
        <w:rPr>
          <w:i/>
          <w:iCs/>
          <w:color w:val="26282A"/>
        </w:rPr>
      </w:pPr>
      <w:r w:rsidRPr="00B27A34">
        <w:rPr>
          <w:i/>
          <w:iCs/>
          <w:color w:val="26282A"/>
        </w:rPr>
        <w:t xml:space="preserve">Comentarios a cargo de Julieta Amelia </w:t>
      </w:r>
      <w:proofErr w:type="spellStart"/>
      <w:r w:rsidRPr="00B27A34">
        <w:rPr>
          <w:i/>
          <w:iCs/>
          <w:color w:val="26282A"/>
        </w:rPr>
        <w:t>Luchessi</w:t>
      </w:r>
      <w:proofErr w:type="spellEnd"/>
      <w:r w:rsidRPr="00B27A34">
        <w:rPr>
          <w:i/>
          <w:iCs/>
          <w:color w:val="26282A"/>
        </w:rPr>
        <w:t>.</w:t>
      </w:r>
    </w:p>
    <w:p w14:paraId="625598D7" w14:textId="6529B6C2" w:rsidR="00293D65" w:rsidRPr="00B27A34" w:rsidRDefault="00293D65" w:rsidP="00293D65">
      <w:pPr>
        <w:pStyle w:val="NormalWeb"/>
        <w:shd w:val="clear" w:color="auto" w:fill="FFFFFF"/>
        <w:ind w:left="426"/>
        <w:rPr>
          <w:b/>
          <w:bCs/>
          <w:color w:val="26282A"/>
        </w:rPr>
      </w:pPr>
      <w:r w:rsidRPr="00B27A34">
        <w:rPr>
          <w:b/>
          <w:bCs/>
          <w:color w:val="26282A"/>
        </w:rPr>
        <w:t>7.- La condonación de multa y la falta de previsión del legislador. Algunas consideraciones a la luz de reciente fallo de la CSJN.</w:t>
      </w:r>
    </w:p>
    <w:p w14:paraId="3C9EA89E" w14:textId="0D17BA5F" w:rsidR="00F54BD6" w:rsidRPr="00B27A34" w:rsidRDefault="00293D65" w:rsidP="00F54BD6">
      <w:pPr>
        <w:pStyle w:val="NormalWeb"/>
        <w:shd w:val="clear" w:color="auto" w:fill="FFFFFF"/>
        <w:ind w:left="426"/>
        <w:rPr>
          <w:b/>
          <w:bCs/>
          <w:color w:val="26282A"/>
        </w:rPr>
      </w:pPr>
      <w:r w:rsidRPr="00B27A34">
        <w:rPr>
          <w:b/>
          <w:bCs/>
          <w:color w:val="26282A"/>
        </w:rPr>
        <w:t>“</w:t>
      </w:r>
      <w:proofErr w:type="spellStart"/>
      <w:r w:rsidRPr="00B27A34">
        <w:rPr>
          <w:b/>
          <w:bCs/>
          <w:color w:val="26282A"/>
        </w:rPr>
        <w:t>Natusur</w:t>
      </w:r>
      <w:proofErr w:type="spellEnd"/>
      <w:r w:rsidRPr="00B27A34">
        <w:rPr>
          <w:b/>
          <w:bCs/>
          <w:color w:val="26282A"/>
        </w:rPr>
        <w:t xml:space="preserve"> S.A. c/ </w:t>
      </w:r>
      <w:proofErr w:type="spellStart"/>
      <w:r w:rsidRPr="00B27A34">
        <w:rPr>
          <w:b/>
          <w:bCs/>
          <w:color w:val="26282A"/>
        </w:rPr>
        <w:t>Afip</w:t>
      </w:r>
      <w:proofErr w:type="spellEnd"/>
      <w:r w:rsidRPr="00B27A34">
        <w:rPr>
          <w:b/>
          <w:bCs/>
          <w:color w:val="26282A"/>
        </w:rPr>
        <w:t>-DGI s/Contencioso Administrativo”. CSJN. 27/8/24.</w:t>
      </w:r>
    </w:p>
    <w:p w14:paraId="25F10D4F" w14:textId="00E13EAE" w:rsidR="00293D65" w:rsidRPr="00B27A34" w:rsidRDefault="00293D65" w:rsidP="00F54BD6">
      <w:pPr>
        <w:pStyle w:val="NormalWeb"/>
        <w:shd w:val="clear" w:color="auto" w:fill="FFFFFF"/>
        <w:ind w:left="426"/>
        <w:rPr>
          <w:b/>
          <w:bCs/>
          <w:color w:val="26282A"/>
        </w:rPr>
      </w:pPr>
      <w:r w:rsidRPr="00B27A34">
        <w:rPr>
          <w:i/>
          <w:iCs/>
          <w:color w:val="26282A"/>
        </w:rPr>
        <w:t xml:space="preserve">Comentarios a cargo de Claudio García </w:t>
      </w:r>
      <w:proofErr w:type="spellStart"/>
      <w:r w:rsidRPr="00B27A34">
        <w:rPr>
          <w:i/>
          <w:iCs/>
          <w:color w:val="26282A"/>
        </w:rPr>
        <w:t>Sinagra</w:t>
      </w:r>
      <w:proofErr w:type="spellEnd"/>
      <w:r w:rsidRPr="00B27A34">
        <w:rPr>
          <w:i/>
          <w:iCs/>
          <w:color w:val="26282A"/>
        </w:rPr>
        <w:t>.</w:t>
      </w:r>
    </w:p>
    <w:p w14:paraId="085F1B4C" w14:textId="77777777" w:rsidR="00F54BD6" w:rsidRPr="00B27A34" w:rsidRDefault="00F54BD6" w:rsidP="00F54BD6">
      <w:pPr>
        <w:pStyle w:val="NormalWeb"/>
        <w:shd w:val="clear" w:color="auto" w:fill="FFFFFF"/>
        <w:ind w:left="426"/>
      </w:pPr>
    </w:p>
    <w:p w14:paraId="4BD9A128" w14:textId="2F94C6E8" w:rsidR="00F54BD6" w:rsidRPr="00B27A34" w:rsidRDefault="00F54BD6" w:rsidP="00F54BD6">
      <w:pPr>
        <w:pStyle w:val="NormalWeb"/>
        <w:shd w:val="clear" w:color="auto" w:fill="FFFFFF"/>
        <w:spacing w:after="0" w:line="276" w:lineRule="auto"/>
        <w:ind w:left="708"/>
        <w:jc w:val="both"/>
        <w:rPr>
          <w:b/>
          <w:bCs/>
          <w:color w:val="26282A"/>
        </w:rPr>
      </w:pPr>
    </w:p>
    <w:p w14:paraId="03E9271C" w14:textId="77777777" w:rsidR="0041114F" w:rsidRPr="00B27A34" w:rsidRDefault="0041114F" w:rsidP="0041114F">
      <w:pPr>
        <w:pStyle w:val="NormalWeb"/>
        <w:shd w:val="clear" w:color="auto" w:fill="FFFFFF"/>
        <w:spacing w:after="0" w:line="276" w:lineRule="auto"/>
        <w:ind w:left="720" w:firstLine="696"/>
        <w:jc w:val="both"/>
        <w:rPr>
          <w:color w:val="26282A"/>
        </w:rPr>
      </w:pPr>
    </w:p>
    <w:p w14:paraId="1B10F41E" w14:textId="77777777" w:rsidR="00AA1CA2" w:rsidRPr="00B27A34" w:rsidRDefault="00AA1CA2" w:rsidP="00AA1CA2">
      <w:pPr>
        <w:pStyle w:val="NormalWeb"/>
        <w:shd w:val="clear" w:color="auto" w:fill="FFFFFF"/>
        <w:spacing w:after="0" w:line="276" w:lineRule="auto"/>
        <w:ind w:left="720"/>
        <w:jc w:val="both"/>
        <w:rPr>
          <w:b/>
          <w:bCs/>
          <w:color w:val="26282A"/>
        </w:rPr>
      </w:pPr>
    </w:p>
    <w:p w14:paraId="7471D0C0" w14:textId="77777777" w:rsidR="00AA1CA2" w:rsidRPr="00B27A34" w:rsidRDefault="00AA1CA2" w:rsidP="00AA1CA2">
      <w:pPr>
        <w:pStyle w:val="NormalWeb"/>
        <w:shd w:val="clear" w:color="auto" w:fill="FFFFFF"/>
        <w:spacing w:after="0" w:line="330" w:lineRule="atLeast"/>
        <w:ind w:left="720"/>
        <w:jc w:val="both"/>
        <w:rPr>
          <w:b/>
          <w:bCs/>
          <w:color w:val="26282A"/>
        </w:rPr>
      </w:pPr>
    </w:p>
    <w:p w14:paraId="4D625C3F" w14:textId="77777777" w:rsidR="00AC07D2" w:rsidRPr="00B27A34" w:rsidRDefault="00AC07D2" w:rsidP="00AC07D2">
      <w:pPr>
        <w:pStyle w:val="NormalWeb"/>
        <w:shd w:val="clear" w:color="auto" w:fill="FFFFFF"/>
        <w:spacing w:before="0" w:beforeAutospacing="0" w:after="0" w:afterAutospacing="0" w:line="330" w:lineRule="atLeast"/>
        <w:ind w:left="720"/>
        <w:jc w:val="both"/>
        <w:rPr>
          <w:b/>
          <w:bCs/>
          <w:color w:val="26282A"/>
        </w:rPr>
      </w:pPr>
    </w:p>
    <w:p w14:paraId="5179B886" w14:textId="77777777" w:rsidR="00AC07D2" w:rsidRPr="00B27A34" w:rsidRDefault="00AC07D2" w:rsidP="00AC07D2">
      <w:pPr>
        <w:pStyle w:val="NormalWeb"/>
        <w:shd w:val="clear" w:color="auto" w:fill="FFFFFF"/>
        <w:spacing w:before="0" w:beforeAutospacing="0" w:after="0" w:afterAutospacing="0" w:line="330" w:lineRule="atLeast"/>
        <w:ind w:left="720"/>
        <w:jc w:val="both"/>
        <w:rPr>
          <w:color w:val="222222"/>
        </w:rPr>
      </w:pPr>
    </w:p>
    <w:p w14:paraId="45A8CC23" w14:textId="77777777" w:rsidR="00FB2BD1" w:rsidRPr="00B27A34" w:rsidRDefault="00FB2BD1">
      <w:pPr>
        <w:rPr>
          <w:rFonts w:ascii="Times New Roman" w:hAnsi="Times New Roman" w:cs="Times New Roman"/>
          <w:sz w:val="24"/>
          <w:szCs w:val="24"/>
        </w:rPr>
      </w:pPr>
    </w:p>
    <w:sectPr w:rsidR="00FB2BD1" w:rsidRPr="00B27A3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DA5571"/>
    <w:multiLevelType w:val="hybridMultilevel"/>
    <w:tmpl w:val="30662754"/>
    <w:lvl w:ilvl="0" w:tplc="0548DD78">
      <w:start w:val="1"/>
      <w:numFmt w:val="bullet"/>
      <w:lvlText w:val=""/>
      <w:lvlJc w:val="left"/>
      <w:pPr>
        <w:ind w:left="2136" w:hanging="360"/>
      </w:pPr>
      <w:rPr>
        <w:rFonts w:ascii="Wingdings" w:hAnsi="Wingdings" w:hint="default"/>
        <w:color w:val="2C8E7D"/>
      </w:rPr>
    </w:lvl>
    <w:lvl w:ilvl="1" w:tplc="080A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80A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80A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80A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80A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80A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80A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80A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num w:numId="1" w16cid:durableId="57968137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3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C07D2"/>
    <w:rsid w:val="000B5F58"/>
    <w:rsid w:val="00293D65"/>
    <w:rsid w:val="0041114F"/>
    <w:rsid w:val="004E32F4"/>
    <w:rsid w:val="006144C4"/>
    <w:rsid w:val="00620D77"/>
    <w:rsid w:val="00857C1A"/>
    <w:rsid w:val="00AA1CA2"/>
    <w:rsid w:val="00AC07D2"/>
    <w:rsid w:val="00B27A34"/>
    <w:rsid w:val="00E21746"/>
    <w:rsid w:val="00EC5E1B"/>
    <w:rsid w:val="00EC7136"/>
    <w:rsid w:val="00F54BD6"/>
    <w:rsid w:val="00FB2B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8B8367"/>
  <w15:chartTrackingRefBased/>
  <w15:docId w15:val="{EF3BCCEE-D18B-4105-8B89-2E081E5D01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C07D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8552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397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48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7281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219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5732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50386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50044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384</Words>
  <Characters>2114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Usuario de Windows</dc:creator>
  <cp:keywords/>
  <dc:description/>
  <cp:lastModifiedBy>MacBook Air</cp:lastModifiedBy>
  <cp:revision>2</cp:revision>
  <dcterms:created xsi:type="dcterms:W3CDTF">2024-09-05T19:30:00Z</dcterms:created>
  <dcterms:modified xsi:type="dcterms:W3CDTF">2024-09-05T19:30:00Z</dcterms:modified>
</cp:coreProperties>
</file>