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1398"/>
        <w:gridCol w:w="7440"/>
      </w:tblGrid>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b/>
                <w:bCs/>
                <w:sz w:val="20"/>
                <w:szCs w:val="20"/>
              </w:rPr>
              <w:t xml:space="preserve">Organismo: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SECRETARIA DE DEMANDAS ORIGINARIAS SUPREMA CORTE</w:t>
            </w:r>
          </w:p>
        </w:tc>
      </w:tr>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b/>
                <w:bCs/>
                <w:sz w:val="20"/>
                <w:szCs w:val="20"/>
              </w:rPr>
              <w:t xml:space="preserve">Carátula: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 xml:space="preserve">CÁMARA EMPRESARIA DEL PARQUE INDUSTRIAL PILAR C/ MUNICIPALIDAD DE PILAR S/DEMANDA ORIGINARIA DE INCONSTITUCIONALIDAD ART. - </w:t>
            </w:r>
          </w:p>
        </w:tc>
      </w:tr>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proofErr w:type="spellStart"/>
            <w:r>
              <w:rPr>
                <w:rFonts w:ascii="Arial" w:eastAsia="Times New Roman" w:hAnsi="Arial" w:cs="Arial"/>
                <w:b/>
                <w:bCs/>
                <w:sz w:val="20"/>
                <w:szCs w:val="20"/>
              </w:rPr>
              <w:t>Nro</w:t>
            </w:r>
            <w:proofErr w:type="spellEnd"/>
            <w:r>
              <w:rPr>
                <w:rFonts w:ascii="Arial" w:eastAsia="Times New Roman" w:hAnsi="Arial" w:cs="Arial"/>
                <w:b/>
                <w:bCs/>
                <w:sz w:val="20"/>
                <w:szCs w:val="20"/>
              </w:rPr>
              <w:t xml:space="preserve"> de causa: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76927</w:t>
            </w:r>
          </w:p>
        </w:tc>
      </w:tr>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b/>
                <w:bCs/>
                <w:sz w:val="20"/>
                <w:szCs w:val="20"/>
              </w:rPr>
              <w:t xml:space="preserve">Fecha: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27/05/2021 16:43:37</w:t>
            </w:r>
          </w:p>
        </w:tc>
      </w:tr>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b/>
                <w:bCs/>
                <w:sz w:val="20"/>
                <w:szCs w:val="20"/>
              </w:rPr>
              <w:t xml:space="preserve">Descripción: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RESOLUCION REGISTRABLE</w:t>
            </w:r>
          </w:p>
        </w:tc>
      </w:tr>
      <w:tr w:rsidR="007553E4" w:rsidTr="007553E4">
        <w:trPr>
          <w:tblCellSpacing w:w="15" w:type="dxa"/>
        </w:trPr>
        <w:tc>
          <w:tcPr>
            <w:tcW w:w="0" w:type="auto"/>
            <w:shd w:val="clear" w:color="auto" w:fill="CCEEFF"/>
            <w:noWrap/>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b/>
                <w:bCs/>
                <w:sz w:val="20"/>
                <w:szCs w:val="20"/>
              </w:rPr>
              <w:t xml:space="preserve">Estado: </w:t>
            </w:r>
          </w:p>
        </w:tc>
        <w:tc>
          <w:tcPr>
            <w:tcW w:w="0" w:type="auto"/>
            <w:tcMar>
              <w:top w:w="15" w:type="dxa"/>
              <w:left w:w="15" w:type="dxa"/>
              <w:bottom w:w="15" w:type="dxa"/>
              <w:right w:w="15" w:type="dxa"/>
            </w:tcMar>
            <w:vAlign w:val="center"/>
            <w:hideMark/>
          </w:tcPr>
          <w:p w:rsidR="007553E4" w:rsidRDefault="007553E4">
            <w:pPr>
              <w:rPr>
                <w:rFonts w:eastAsia="Times New Roman"/>
              </w:rPr>
            </w:pPr>
            <w:r>
              <w:rPr>
                <w:rFonts w:ascii="Arial" w:eastAsia="Times New Roman" w:hAnsi="Arial" w:cs="Arial"/>
                <w:sz w:val="20"/>
                <w:szCs w:val="20"/>
              </w:rPr>
              <w:t>A Despacho - En Estudio</w:t>
            </w:r>
          </w:p>
        </w:tc>
      </w:tr>
      <w:tr w:rsidR="007553E4" w:rsidTr="007553E4">
        <w:trPr>
          <w:tblCellSpacing w:w="15" w:type="dxa"/>
        </w:trPr>
        <w:tc>
          <w:tcPr>
            <w:tcW w:w="0" w:type="auto"/>
            <w:gridSpan w:val="2"/>
            <w:shd w:val="clear" w:color="auto" w:fill="003063"/>
            <w:tcMar>
              <w:top w:w="15" w:type="dxa"/>
              <w:left w:w="15" w:type="dxa"/>
              <w:bottom w:w="15" w:type="dxa"/>
              <w:right w:w="15" w:type="dxa"/>
            </w:tcMar>
            <w:vAlign w:val="center"/>
            <w:hideMark/>
          </w:tcPr>
          <w:p w:rsidR="007553E4" w:rsidRDefault="007553E4">
            <w:pPr>
              <w:rPr>
                <w:rFonts w:eastAsia="Times New Roman"/>
              </w:rPr>
            </w:pPr>
          </w:p>
        </w:tc>
      </w:tr>
    </w:tbl>
    <w:p w:rsidR="007553E4" w:rsidRDefault="007553E4" w:rsidP="007553E4">
      <w:pPr>
        <w:pStyle w:val="NormalWeb"/>
      </w:pPr>
      <w:r>
        <w:t xml:space="preserve">Funcionario </w:t>
      </w:r>
      <w:proofErr w:type="gramStart"/>
      <w:r>
        <w:t>Firmante :26</w:t>
      </w:r>
      <w:proofErr w:type="gramEnd"/>
      <w:r>
        <w:t>/05/2021 14:54:13 - TORRES Sergio Gabriel - JUEZ</w:t>
      </w:r>
    </w:p>
    <w:p w:rsidR="007553E4" w:rsidRDefault="007553E4" w:rsidP="007553E4">
      <w:pPr>
        <w:pStyle w:val="NormalWeb"/>
      </w:pPr>
      <w:r>
        <w:t xml:space="preserve">Funcionario </w:t>
      </w:r>
      <w:proofErr w:type="gramStart"/>
      <w:r>
        <w:t>Firmante :26</w:t>
      </w:r>
      <w:proofErr w:type="gramEnd"/>
      <w:r>
        <w:t>/05/2021 19:10:36 - KOGAN Hilda - JUEZA</w:t>
      </w:r>
    </w:p>
    <w:p w:rsidR="007553E4" w:rsidRDefault="007553E4" w:rsidP="007553E4">
      <w:pPr>
        <w:pStyle w:val="NormalWeb"/>
      </w:pPr>
      <w:r>
        <w:t xml:space="preserve">Funcionario </w:t>
      </w:r>
      <w:proofErr w:type="gramStart"/>
      <w:r>
        <w:t>Firmante :26</w:t>
      </w:r>
      <w:proofErr w:type="gramEnd"/>
      <w:r>
        <w:t>/05/2021 20:40:52 - PETTIGIANI Eduardo Julio - JUEZ</w:t>
      </w:r>
    </w:p>
    <w:p w:rsidR="007553E4" w:rsidRDefault="007553E4" w:rsidP="007553E4">
      <w:pPr>
        <w:pStyle w:val="NormalWeb"/>
      </w:pPr>
      <w:r>
        <w:t xml:space="preserve">Funcionario </w:t>
      </w:r>
      <w:proofErr w:type="gramStart"/>
      <w:r>
        <w:t>Firmante :27</w:t>
      </w:r>
      <w:proofErr w:type="gramEnd"/>
      <w:r>
        <w:t>/05/2021 13:45:48 - SORIA Daniel Fernando - JUEZ</w:t>
      </w:r>
    </w:p>
    <w:p w:rsidR="007553E4" w:rsidRDefault="007553E4" w:rsidP="007553E4">
      <w:pPr>
        <w:pStyle w:val="NormalWeb"/>
      </w:pPr>
      <w:r>
        <w:t xml:space="preserve">Funcionario </w:t>
      </w:r>
      <w:proofErr w:type="gramStart"/>
      <w:r>
        <w:t>Firmante :27</w:t>
      </w:r>
      <w:proofErr w:type="gramEnd"/>
      <w:r>
        <w:t>/05/2021 16:43:35 - MARTIARENA Juan Jose - SECRETARIO DE LA SUPREMA CORTE DE JUSTICIA</w:t>
      </w:r>
    </w:p>
    <w:p w:rsidR="007553E4" w:rsidRDefault="007553E4" w:rsidP="007553E4">
      <w:pPr>
        <w:pStyle w:val="NormalWeb"/>
      </w:pPr>
      <w:proofErr w:type="gramStart"/>
      <w:r>
        <w:t>Observación :</w:t>
      </w:r>
      <w:proofErr w:type="gramEnd"/>
    </w:p>
    <w:p w:rsidR="007553E4" w:rsidRDefault="007553E4" w:rsidP="007553E4">
      <w:pPr>
        <w:pStyle w:val="NormalWeb"/>
      </w:pPr>
      <w:r>
        <w:t xml:space="preserve">Resolución - Nro. </w:t>
      </w:r>
      <w:proofErr w:type="gramStart"/>
      <w:r>
        <w:t>de</w:t>
      </w:r>
      <w:proofErr w:type="gramEnd"/>
      <w:r>
        <w:t xml:space="preserve"> Registro :190</w:t>
      </w:r>
    </w:p>
    <w:p w:rsidR="007553E4" w:rsidRDefault="007553E4" w:rsidP="007553E4">
      <w:pPr>
        <w:pStyle w:val="NormalWeb"/>
        <w:jc w:val="both"/>
      </w:pPr>
      <w:r>
        <w:rPr>
          <w:rFonts w:ascii="Courier New" w:hAnsi="Courier New" w:cs="Courier New"/>
          <w:color w:val="000000"/>
        </w:rPr>
        <w:t> </w:t>
      </w:r>
    </w:p>
    <w:p w:rsidR="007553E4" w:rsidRDefault="007553E4" w:rsidP="007553E4">
      <w:pPr>
        <w:pStyle w:val="NormalWeb"/>
        <w:ind w:left="4180"/>
        <w:jc w:val="both"/>
      </w:pPr>
      <w:r>
        <w:rPr>
          <w:rFonts w:ascii="BarCode 128" w:hAnsi="BarCode 128"/>
          <w:color w:val="000000"/>
          <w:sz w:val="50"/>
          <w:szCs w:val="50"/>
        </w:rPr>
        <w:t>‰7Xè=</w:t>
      </w:r>
      <w:proofErr w:type="spellStart"/>
      <w:r>
        <w:rPr>
          <w:rFonts w:ascii="BarCode 128" w:hAnsi="BarCode 128"/>
          <w:color w:val="000000"/>
          <w:sz w:val="50"/>
          <w:szCs w:val="50"/>
        </w:rPr>
        <w:t>è#G#EmŠ</w:t>
      </w:r>
      <w:proofErr w:type="spellEnd"/>
    </w:p>
    <w:p w:rsidR="007553E4" w:rsidRDefault="007553E4" w:rsidP="007553E4">
      <w:pPr>
        <w:pStyle w:val="NormalWeb"/>
        <w:ind w:left="4180"/>
        <w:jc w:val="both"/>
      </w:pPr>
      <w:r>
        <w:rPr>
          <w:rFonts w:ascii="Courier New" w:hAnsi="Courier New" w:cs="Courier New"/>
          <w:color w:val="000000"/>
          <w:sz w:val="20"/>
          <w:szCs w:val="20"/>
        </w:rPr>
        <w:t>CÁMARA EMPRESARIA DEL PARQUE INDUSTRIAL PILAR C/ MUNICIPALIDAD DE PILAR S/DEMANDA ORIGINARIA DE INCONSTITUCIONALIDAD ART. 257 DE LA ORDENANZA FISCAL Nº 35 / 2020</w:t>
      </w:r>
    </w:p>
    <w:p w:rsidR="007553E4" w:rsidRDefault="007553E4" w:rsidP="007553E4">
      <w:pPr>
        <w:pStyle w:val="NormalWeb"/>
        <w:jc w:val="both"/>
      </w:pPr>
      <w:r>
        <w:rPr>
          <w:rFonts w:ascii="Courier New" w:hAnsi="Courier New" w:cs="Courier New"/>
          <w:color w:val="000000"/>
        </w:rPr>
        <w:t>   </w:t>
      </w:r>
    </w:p>
    <w:p w:rsidR="007553E4" w:rsidRDefault="007553E4" w:rsidP="007553E4">
      <w:pPr>
        <w:pStyle w:val="NormalWeb"/>
        <w:spacing w:line="360" w:lineRule="auto"/>
        <w:ind w:firstLine="1400"/>
        <w:jc w:val="both"/>
      </w:pPr>
      <w:r>
        <w:rPr>
          <w:rFonts w:ascii="Courier New" w:hAnsi="Courier New" w:cs="Courier New"/>
          <w:b/>
          <w:bCs/>
          <w:color w:val="000000"/>
        </w:rPr>
        <w:t>AUTOS Y VISTOS:</w:t>
      </w:r>
    </w:p>
    <w:p w:rsidR="007553E4" w:rsidRDefault="007553E4" w:rsidP="007553E4">
      <w:pPr>
        <w:pStyle w:val="NormalWeb"/>
        <w:spacing w:line="360" w:lineRule="auto"/>
        <w:ind w:firstLine="1400"/>
        <w:jc w:val="both"/>
      </w:pPr>
      <w:r>
        <w:rPr>
          <w:rFonts w:ascii="Courier New" w:hAnsi="Courier New" w:cs="Courier New"/>
          <w:color w:val="000000"/>
        </w:rPr>
        <w:t xml:space="preserve">I. </w:t>
      </w:r>
      <w:r>
        <w:rPr>
          <w:rFonts w:ascii="Courier New" w:hAnsi="Courier New" w:cs="Courier New"/>
        </w:rPr>
        <w:t xml:space="preserve">La Cámara Empresaria del Parque Industrial Pilar -a través de su apoderado- promueve acción originaria de inconstitucionalidad en los términos de los arts. 161 </w:t>
      </w:r>
      <w:proofErr w:type="gramStart"/>
      <w:r>
        <w:rPr>
          <w:rFonts w:ascii="Courier New" w:hAnsi="Courier New" w:cs="Courier New"/>
        </w:rPr>
        <w:t>inc.</w:t>
      </w:r>
      <w:proofErr w:type="gramEnd"/>
      <w:r>
        <w:rPr>
          <w:rFonts w:ascii="Courier New" w:hAnsi="Courier New" w:cs="Courier New"/>
        </w:rPr>
        <w:t xml:space="preserve"> 1° de la Constitución provincial y 683 y sigs. </w:t>
      </w:r>
      <w:proofErr w:type="gramStart"/>
      <w:r>
        <w:rPr>
          <w:rFonts w:ascii="Courier New" w:hAnsi="Courier New" w:cs="Courier New"/>
        </w:rPr>
        <w:t>del</w:t>
      </w:r>
      <w:proofErr w:type="gramEnd"/>
      <w:r>
        <w:rPr>
          <w:rFonts w:ascii="Courier New" w:hAnsi="Courier New" w:cs="Courier New"/>
        </w:rPr>
        <w:t xml:space="preserve"> Código Procesal Civil y Comercial, con el objeto de que se declare la invalidez </w:t>
      </w:r>
      <w:r>
        <w:rPr>
          <w:rFonts w:ascii="Courier New" w:hAnsi="Courier New" w:cs="Courier New"/>
        </w:rPr>
        <w:lastRenderedPageBreak/>
        <w:t xml:space="preserve">del art. 257 de la ordenanza fiscal 35/20 dictada por la Municipalidad de Pilar, por medio del cual se creó la Tasa para el Desarrollo de la Infraestructura y Promoción del Empleo Local. </w:t>
      </w:r>
    </w:p>
    <w:p w:rsidR="007553E4" w:rsidRDefault="007553E4" w:rsidP="007553E4">
      <w:pPr>
        <w:pStyle w:val="NormalWeb"/>
        <w:spacing w:line="360" w:lineRule="auto"/>
        <w:ind w:firstLine="1400"/>
        <w:jc w:val="both"/>
      </w:pPr>
      <w:r>
        <w:rPr>
          <w:rFonts w:ascii="Courier New" w:hAnsi="Courier New" w:cs="Courier New"/>
        </w:rPr>
        <w:t>Asimismo, solicita que cautelarmente se suspenda la aplicación del precepto impugnado a sus asociadas, hasta tanto se dicte sentencia definitiva en la presente causa.</w:t>
      </w:r>
    </w:p>
    <w:p w:rsidR="007553E4" w:rsidRDefault="007553E4" w:rsidP="007553E4">
      <w:pPr>
        <w:pStyle w:val="NormalWeb"/>
        <w:spacing w:line="360" w:lineRule="auto"/>
        <w:ind w:firstLine="1400"/>
        <w:jc w:val="both"/>
      </w:pPr>
      <w:r>
        <w:rPr>
          <w:rFonts w:ascii="Courier New" w:hAnsi="Courier New" w:cs="Courier New"/>
        </w:rPr>
        <w:t xml:space="preserve">II.1. Relata que es una asociación civil gremial que nuclea a una serie de empresas y que, conforme lo dispuesto en los arts. 2 </w:t>
      </w:r>
      <w:proofErr w:type="gramStart"/>
      <w:r>
        <w:rPr>
          <w:rFonts w:ascii="Courier New" w:hAnsi="Courier New" w:cs="Courier New"/>
        </w:rPr>
        <w:t>y</w:t>
      </w:r>
      <w:proofErr w:type="gramEnd"/>
      <w:r>
        <w:rPr>
          <w:rFonts w:ascii="Courier New" w:hAnsi="Courier New" w:cs="Courier New"/>
        </w:rPr>
        <w:t xml:space="preserve"> 3 de su estatuto constitutivo, tiene por objeto representar a sus asociados en todo el territorio de la República Argentina como así también gestionar y peticionar ante las autoridades nacionales, provinciales o municipales la sanción de normas que tiendan a impulsar el desarrollo y mejoramiento de la actividad desempeñada por las empresas asociadas, pudiendo actuar en defensa de los intereses de sus miembros, incluso, en sede judicial. </w:t>
      </w:r>
    </w:p>
    <w:p w:rsidR="007553E4" w:rsidRDefault="007553E4" w:rsidP="007553E4">
      <w:pPr>
        <w:pStyle w:val="NormalWeb"/>
        <w:spacing w:line="360" w:lineRule="auto"/>
        <w:ind w:firstLine="1400"/>
        <w:jc w:val="both"/>
      </w:pPr>
      <w:r>
        <w:rPr>
          <w:rFonts w:ascii="Courier New" w:hAnsi="Courier New" w:cs="Courier New"/>
        </w:rPr>
        <w:t>Sobre el punto, expresa que la legitimación extraordinaria invocada ha sido expresamente reconocida por la Sala II de la Cámara Federal de San Martín en el marco de los autos caratulados “</w:t>
      </w:r>
      <w:proofErr w:type="spellStart"/>
      <w:r>
        <w:rPr>
          <w:rFonts w:ascii="Courier New" w:hAnsi="Courier New" w:cs="Courier New"/>
        </w:rPr>
        <w:t>Ilva</w:t>
      </w:r>
      <w:proofErr w:type="spellEnd"/>
      <w:r>
        <w:rPr>
          <w:rFonts w:ascii="Courier New" w:hAnsi="Courier New" w:cs="Courier New"/>
        </w:rPr>
        <w:t xml:space="preserve"> SA y otros c/ PEN y otros s/ amparo -medida cautelar” (causa n° 2373/2004). A su vez, precisa que la presente acción se centra en la impugnación de la norma en abstracto y con carácter preventivo, sin encontrarse en discusión el concreto impacto patrimonial que en cada uno de los asociados puede llegar a provocar el precepto en crisis (v. punto III del escrito inicial de fecha 12-III-2021).</w:t>
      </w:r>
    </w:p>
    <w:p w:rsidR="007553E4" w:rsidRDefault="007553E4" w:rsidP="007553E4">
      <w:pPr>
        <w:pStyle w:val="NormalWeb"/>
        <w:spacing w:line="360" w:lineRule="auto"/>
        <w:ind w:firstLine="1400"/>
        <w:jc w:val="both"/>
      </w:pPr>
      <w:r>
        <w:rPr>
          <w:rFonts w:ascii="Courier New" w:hAnsi="Courier New" w:cs="Courier New"/>
        </w:rPr>
        <w:t xml:space="preserve">Respecto al plazo para entablar la demanda, expone que deviene aplicable lo previsto en el art. 685 del Código </w:t>
      </w:r>
      <w:r>
        <w:rPr>
          <w:rFonts w:ascii="Courier New" w:hAnsi="Courier New" w:cs="Courier New"/>
        </w:rPr>
        <w:lastRenderedPageBreak/>
        <w:t xml:space="preserve">Procesal Civil y Comercial dada la naturaleza institucional de la cuestión planteada. A todo evento, manifiesta que la acción se interpone tempestivamente por no haber sido oficialmente publicada la ordenanza fiscal impugnada; de modo que “no ha comenzado a regir ni se encuentra vigente, ni ha creado la obligación de su pago” (cita el art. 684, CPCC). </w:t>
      </w:r>
    </w:p>
    <w:p w:rsidR="007553E4" w:rsidRDefault="007553E4" w:rsidP="007553E4">
      <w:pPr>
        <w:pStyle w:val="NormalWeb"/>
        <w:spacing w:line="360" w:lineRule="auto"/>
        <w:ind w:firstLine="1400"/>
        <w:jc w:val="both"/>
      </w:pPr>
      <w:r>
        <w:rPr>
          <w:rFonts w:ascii="Courier New" w:hAnsi="Courier New" w:cs="Courier New"/>
        </w:rPr>
        <w:t xml:space="preserve">Sin perjuicio de ello, aduce que el plazo de caducidad en ningún caso debería comenzar a correr antes del día siguiente al establecido por la Municipalidad demandada como primer vencimiento para el pago de la tasa, es decir el 29 de enero de 2021 y que, recién a partir de entonces, podría establecerse el </w:t>
      </w:r>
      <w:proofErr w:type="spellStart"/>
      <w:r>
        <w:rPr>
          <w:rFonts w:ascii="Courier New" w:hAnsi="Courier New" w:cs="Courier New"/>
          <w:i/>
          <w:iCs/>
        </w:rPr>
        <w:t>dies</w:t>
      </w:r>
      <w:proofErr w:type="spellEnd"/>
      <w:r>
        <w:rPr>
          <w:rFonts w:ascii="Courier New" w:hAnsi="Courier New" w:cs="Courier New"/>
          <w:i/>
          <w:iCs/>
        </w:rPr>
        <w:t xml:space="preserve"> a quo</w:t>
      </w:r>
      <w:r>
        <w:rPr>
          <w:rFonts w:ascii="Courier New" w:hAnsi="Courier New" w:cs="Courier New"/>
        </w:rPr>
        <w:t xml:space="preserve"> (v. punto IV del escrito </w:t>
      </w:r>
      <w:proofErr w:type="spellStart"/>
      <w:r>
        <w:rPr>
          <w:rFonts w:ascii="Courier New" w:hAnsi="Courier New" w:cs="Courier New"/>
        </w:rPr>
        <w:t>postulatorio</w:t>
      </w:r>
      <w:proofErr w:type="spellEnd"/>
      <w:r>
        <w:rPr>
          <w:rFonts w:ascii="Courier New" w:hAnsi="Courier New" w:cs="Courier New"/>
        </w:rPr>
        <w:t xml:space="preserve"> de fecha 12-III-2021). </w:t>
      </w:r>
    </w:p>
    <w:p w:rsidR="007553E4" w:rsidRDefault="007553E4" w:rsidP="007553E4">
      <w:pPr>
        <w:pStyle w:val="NormalWeb"/>
        <w:spacing w:line="360" w:lineRule="auto"/>
        <w:ind w:firstLine="1400"/>
        <w:jc w:val="both"/>
      </w:pPr>
      <w:r>
        <w:rPr>
          <w:rFonts w:ascii="Courier New" w:hAnsi="Courier New" w:cs="Courier New"/>
        </w:rPr>
        <w:t>II.2. En cuanto al fondo del asunto, plantea que el tributo creado por el municipio no es una tasa, sino que, antes bien, reviste las características propias de un impuesto, toda vez que no existe un servicio individualizado que real o potencialmente pueda ser utilizado en forma particular por los contribuyentes señalados como sujetos pasivos del tributo. Argumenta, también, que el hecho imponible establecido en la llamada “tasa” excede la materia gravable por el municipio al referirse a cuestiones correspondientes o a cargo de la Provincia o al Estado nacional. Por último, sostiene que el gravamen viola los principios constitucionales de igualdad, proporcionalidad, no confiscatoriedad, equidad y generalidad, entre otros principios y garantías que rigen la materia.</w:t>
      </w:r>
    </w:p>
    <w:p w:rsidR="007553E4" w:rsidRDefault="007553E4" w:rsidP="007553E4">
      <w:pPr>
        <w:pStyle w:val="NormalWeb"/>
        <w:spacing w:line="360" w:lineRule="auto"/>
        <w:ind w:firstLine="1400"/>
        <w:jc w:val="both"/>
      </w:pPr>
      <w:r>
        <w:rPr>
          <w:rFonts w:ascii="Courier New" w:hAnsi="Courier New" w:cs="Courier New"/>
        </w:rPr>
        <w:t xml:space="preserve">Señala que los servicios gravados según lo dispuesto en el art. 257 de la ordenanza fiscal para el año 2021 son la “urbanización, ampliación y mejoramiento de la capacidad instalada para el desarrollo de la infraestructura industrial </w:t>
      </w:r>
      <w:r>
        <w:rPr>
          <w:rFonts w:ascii="Courier New" w:hAnsi="Courier New" w:cs="Courier New"/>
        </w:rPr>
        <w:lastRenderedPageBreak/>
        <w:t xml:space="preserve">sobre el transporte, las telecomunicaciones, infraestructura energética e hidráulica y servicios en pos de mantener un equilibrio para la conservación del medioambiente, que requieren diferencialmente aquellas zonas donde se encuentren instalados establecimientos industriales y productivos”. De ello desprende que, como la ampliación o mejora invocada necesariamente ocurrirá en el futuro, no existe un servicio que actualmente deba ser retribuido por el contribuyente. Así, sostiene que la pretensión fiscal no surge sino después de verificarse el hecho imponible y que la obligación tributaria nace una vez que se ha constatado la configuración del presupuesto fáctico del gravamen. </w:t>
      </w:r>
    </w:p>
    <w:p w:rsidR="007553E4" w:rsidRDefault="007553E4" w:rsidP="007553E4">
      <w:pPr>
        <w:pStyle w:val="NormalWeb"/>
        <w:spacing w:line="360" w:lineRule="auto"/>
        <w:ind w:firstLine="1400"/>
        <w:jc w:val="both"/>
      </w:pPr>
      <w:r>
        <w:rPr>
          <w:rFonts w:ascii="Courier New" w:hAnsi="Courier New" w:cs="Courier New"/>
        </w:rPr>
        <w:t>Cuestiona, por otro lado, la definición efectuada en el art. 257 ter de la mentada ordenanza fiscal respecto a quienes revisten la condición de contribuyentes, toda vez que -a su entender- alude de manera genérica a una universalidad de sujetos cuyo punto de contacto con el gravamen se limita a su lugar de radicación y a la realización de cierto tipo de actividades. Siguiendo esta línea, explica que la aludida “radicación” no representa una categoría o concepto jurídico y/o tributario identificable, lo que torna a la norma en ilegítima. En efecto, estima que se trata de un impuesto que parte de la presunción de la capacidad contributiva de quienes desarrollan una labor industrial, de transporte, logística o de depósito o venta de vehículos.</w:t>
      </w:r>
    </w:p>
    <w:p w:rsidR="007553E4" w:rsidRDefault="007553E4" w:rsidP="007553E4">
      <w:pPr>
        <w:pStyle w:val="NormalWeb"/>
        <w:spacing w:line="360" w:lineRule="auto"/>
        <w:ind w:firstLine="1400"/>
        <w:jc w:val="both"/>
      </w:pPr>
      <w:r>
        <w:rPr>
          <w:rFonts w:ascii="Courier New" w:hAnsi="Courier New" w:cs="Courier New"/>
        </w:rPr>
        <w:t xml:space="preserve">Alega que en todas las categorías el gravamen se incrementa de forma directamente proporcional al monto de la facturación originada o percibida en el territorio municipal, motivo por el cual concluye -una vez más- que la estructura de determinación del gravamen es equivalente a la de un impuesto. </w:t>
      </w:r>
    </w:p>
    <w:p w:rsidR="007553E4" w:rsidRDefault="007553E4" w:rsidP="007553E4">
      <w:pPr>
        <w:pStyle w:val="NormalWeb"/>
        <w:spacing w:line="360" w:lineRule="auto"/>
        <w:ind w:firstLine="1400"/>
        <w:jc w:val="both"/>
      </w:pPr>
      <w:r>
        <w:rPr>
          <w:rFonts w:ascii="Courier New" w:hAnsi="Courier New" w:cs="Courier New"/>
        </w:rPr>
        <w:lastRenderedPageBreak/>
        <w:t xml:space="preserve">Refiere a que los arts. 257 </w:t>
      </w:r>
      <w:proofErr w:type="spellStart"/>
      <w:r>
        <w:rPr>
          <w:rFonts w:ascii="Courier New" w:hAnsi="Courier New" w:cs="Courier New"/>
          <w:i/>
          <w:iCs/>
        </w:rPr>
        <w:t>quinquies</w:t>
      </w:r>
      <w:proofErr w:type="spellEnd"/>
      <w:r>
        <w:rPr>
          <w:rFonts w:ascii="Courier New" w:hAnsi="Courier New" w:cs="Courier New"/>
        </w:rPr>
        <w:t xml:space="preserve"> a </w:t>
      </w:r>
      <w:proofErr w:type="spellStart"/>
      <w:r>
        <w:rPr>
          <w:rFonts w:ascii="Courier New" w:hAnsi="Courier New" w:cs="Courier New"/>
          <w:i/>
          <w:iCs/>
        </w:rPr>
        <w:t>octies</w:t>
      </w:r>
      <w:proofErr w:type="spellEnd"/>
      <w:r>
        <w:rPr>
          <w:rFonts w:ascii="Courier New" w:hAnsi="Courier New" w:cs="Courier New"/>
        </w:rPr>
        <w:t xml:space="preserve"> facultan al Departamento Ejecutivo a establecer diferentes “bonificaciones” que representan reducciones al tributo, lo que resulta ilegítimo atento la naturaleza exclusivamente legislativa de la determinación de los gravámenes. Además, deduce que tales bonificaciones resultan irrazonables y contrarias a los principios de igualdad, proporcionalidad y generalidad o no discriminación.</w:t>
      </w:r>
    </w:p>
    <w:p w:rsidR="007553E4" w:rsidRDefault="007553E4" w:rsidP="007553E4">
      <w:pPr>
        <w:pStyle w:val="NormalWeb"/>
        <w:spacing w:line="360" w:lineRule="auto"/>
        <w:ind w:firstLine="1400"/>
        <w:jc w:val="both"/>
      </w:pPr>
      <w:r>
        <w:rPr>
          <w:rFonts w:ascii="Courier New" w:hAnsi="Courier New" w:cs="Courier New"/>
        </w:rPr>
        <w:t xml:space="preserve">Asevera que la Constitución provincial no contiene ninguna delegación de facultades tributarias a favor de los municipios, aunque la Ley Orgánica de las Municipalidades establece los tributos que éstas pueden recaudar. Al respecto, apunta que aquellas facultades -aún las delegadas- tienen un límite impuesto por el art. 9 </w:t>
      </w:r>
      <w:proofErr w:type="gramStart"/>
      <w:r>
        <w:rPr>
          <w:rFonts w:ascii="Courier New" w:hAnsi="Courier New" w:cs="Courier New"/>
        </w:rPr>
        <w:t>inc.</w:t>
      </w:r>
      <w:proofErr w:type="gramEnd"/>
      <w:r>
        <w:rPr>
          <w:rFonts w:ascii="Courier New" w:hAnsi="Courier New" w:cs="Courier New"/>
        </w:rPr>
        <w:t xml:space="preserve"> “b” de la ley nacional 23.548 de coparticipación federal de recursos fiscales. Aquí, plantea que la tasa cuya inconstitucionalidad se persigue, termina gravando la propia actividad económica, pese a que el hecho imponible sea diverso.</w:t>
      </w:r>
    </w:p>
    <w:p w:rsidR="007553E4" w:rsidRDefault="007553E4" w:rsidP="007553E4">
      <w:pPr>
        <w:pStyle w:val="NormalWeb"/>
        <w:spacing w:line="360" w:lineRule="auto"/>
        <w:ind w:firstLine="1400"/>
        <w:jc w:val="both"/>
      </w:pPr>
      <w:r>
        <w:rPr>
          <w:rFonts w:ascii="Courier New" w:hAnsi="Courier New" w:cs="Courier New"/>
        </w:rPr>
        <w:t>En este contexto, indica que el precepto impugnado vulnera los principios de: a) igualdad, al excluir del tributo a personas que se verían beneficiadas por las presuntas mejoras en la infraestructura o a quienes tienen una capacidad contributiva equivalente; b) proporcionalidad, dado que el monto del gravamen se vincula de manera directa a los ingresos brutos -facturación- del contribuyente y c) generalidad, por eximirse a quienes real o potencialmente utilicen los servicios y se beneficien con ellos.</w:t>
      </w:r>
    </w:p>
    <w:p w:rsidR="007553E4" w:rsidRDefault="007553E4" w:rsidP="007553E4">
      <w:pPr>
        <w:pStyle w:val="NormalWeb"/>
        <w:spacing w:line="360" w:lineRule="auto"/>
        <w:ind w:firstLine="1400"/>
        <w:jc w:val="both"/>
      </w:pPr>
      <w:r>
        <w:rPr>
          <w:rFonts w:ascii="Courier New" w:hAnsi="Courier New" w:cs="Courier New"/>
        </w:rPr>
        <w:t xml:space="preserve">Luego, reseña que en la especie existe superposición entre la tasa en crisis y el impuesto sobre los ingresos brutos y, asimismo, denuncia una “doble imposición” en tanto las </w:t>
      </w:r>
      <w:r>
        <w:rPr>
          <w:rFonts w:ascii="Courier New" w:hAnsi="Courier New" w:cs="Courier New"/>
        </w:rPr>
        <w:lastRenderedPageBreak/>
        <w:t xml:space="preserve">cuestiones ambientales referidas en la mentada norma se </w:t>
      </w:r>
      <w:proofErr w:type="gramStart"/>
      <w:r>
        <w:rPr>
          <w:rFonts w:ascii="Courier New" w:hAnsi="Courier New" w:cs="Courier New"/>
        </w:rPr>
        <w:t>hallan</w:t>
      </w:r>
      <w:proofErr w:type="gramEnd"/>
      <w:r>
        <w:rPr>
          <w:rFonts w:ascii="Courier New" w:hAnsi="Courier New" w:cs="Courier New"/>
        </w:rPr>
        <w:t xml:space="preserve"> comprendidas en la tasa de seguridad e higiene fijada en el capítulo IV de la ordenanza fiscal. </w:t>
      </w:r>
    </w:p>
    <w:p w:rsidR="007553E4" w:rsidRDefault="007553E4" w:rsidP="007553E4">
      <w:pPr>
        <w:pStyle w:val="NormalWeb"/>
        <w:spacing w:line="360" w:lineRule="auto"/>
        <w:ind w:firstLine="1400"/>
        <w:jc w:val="both"/>
      </w:pPr>
      <w:r>
        <w:rPr>
          <w:rFonts w:ascii="Courier New" w:hAnsi="Courier New" w:cs="Courier New"/>
        </w:rPr>
        <w:t>Finalmente, respecto a las telecomunicaciones y al fomento del empleo local incorporados en el precepto, sostiene que tal materia resulta ajena al ámbito de competencia municipal y que a través del art. 257 en crisis se estarían extralimitando las atribuciones que le corresponden a la comuna.</w:t>
      </w:r>
    </w:p>
    <w:p w:rsidR="007553E4" w:rsidRDefault="007553E4" w:rsidP="007553E4">
      <w:pPr>
        <w:pStyle w:val="NormalWeb"/>
        <w:spacing w:line="360" w:lineRule="auto"/>
        <w:ind w:firstLine="1400"/>
        <w:jc w:val="both"/>
      </w:pPr>
      <w:r>
        <w:rPr>
          <w:rFonts w:ascii="Courier New" w:hAnsi="Courier New" w:cs="Courier New"/>
        </w:rPr>
        <w:t xml:space="preserve">Con base en los argumentos </w:t>
      </w:r>
      <w:proofErr w:type="spellStart"/>
      <w:r>
        <w:rPr>
          <w:rFonts w:ascii="Courier New" w:hAnsi="Courier New" w:cs="Courier New"/>
        </w:rPr>
        <w:t>desarrrollados</w:t>
      </w:r>
      <w:proofErr w:type="spellEnd"/>
      <w:r>
        <w:rPr>
          <w:rFonts w:ascii="Courier New" w:hAnsi="Courier New" w:cs="Courier New"/>
        </w:rPr>
        <w:t>, solicita que se declare la inconstitucionalidad del art. 257 de la ordenanza fiscal 35/20 y, hasta tanto ello suceda, se suspendan cautelarmente sus disposiciones.</w:t>
      </w:r>
    </w:p>
    <w:p w:rsidR="007553E4" w:rsidRDefault="007553E4" w:rsidP="007553E4">
      <w:pPr>
        <w:pStyle w:val="NormalWeb"/>
        <w:spacing w:line="360" w:lineRule="auto"/>
        <w:ind w:firstLine="1400"/>
        <w:jc w:val="both"/>
      </w:pPr>
      <w:r>
        <w:rPr>
          <w:rFonts w:ascii="Courier New" w:hAnsi="Courier New" w:cs="Courier New"/>
        </w:rPr>
        <w:t>III. Corrido el pertinente traslado, el apoderado de la Municipalidad de Pilar se presenta y opone excepción previa de prescripción e incompetencia, aludiendo a la inadmisibilidad temporal de la acción. Ello, toda vez que entiende que el plazo de caducidad para presentar la demanda originaria de inconstitucionalidad debe computarse desde la publicación de la ordenanza fiscal e impositiva 35/20 -por medio de la cual se instituyó la norma atacada- en el Boletín Oficial municipal N° 146 del día 30 de noviembre de 2020. Es que, a partir de aquel momento, comenzó a regir la citada ordenanza, conforme lo dispuesto en su art. 69.</w:t>
      </w:r>
    </w:p>
    <w:p w:rsidR="007553E4" w:rsidRDefault="007553E4" w:rsidP="007553E4">
      <w:pPr>
        <w:pStyle w:val="NormalWeb"/>
        <w:spacing w:line="360" w:lineRule="auto"/>
        <w:ind w:firstLine="1400"/>
        <w:jc w:val="both"/>
      </w:pPr>
      <w:r>
        <w:rPr>
          <w:rFonts w:ascii="Courier New" w:hAnsi="Courier New" w:cs="Courier New"/>
        </w:rPr>
        <w:t xml:space="preserve">En este sentido, precisa que luego de que la Secretaría Legal y Técnica dictara la resolución 10/13 por la cual se aprobó el “Programa de Cooperación y Asistencia Legal y Técnica a los municipios de la Provincia de Buenos Aires”, en el mes de octubre de 2016 el municipio suscribió el </w:t>
      </w:r>
      <w:r>
        <w:rPr>
          <w:rFonts w:ascii="Courier New" w:hAnsi="Courier New" w:cs="Courier New"/>
        </w:rPr>
        <w:lastRenderedPageBreak/>
        <w:t>pertinente acuerdo marco y el Acta complementaria N° 1 con la mencionada Secretaría. Allí, establecieron “específicamente los objetivos y planes de trabajo, plazos, personal y todo otro aporte que deban efectuar cada una de las signatarias a fin de implementar el SIBOM” (v. punto III del escrito electrónico de fecha 26-III-2021).</w:t>
      </w:r>
    </w:p>
    <w:p w:rsidR="007553E4" w:rsidRDefault="007553E4" w:rsidP="007553E4">
      <w:pPr>
        <w:pStyle w:val="NormalWeb"/>
        <w:spacing w:line="360" w:lineRule="auto"/>
        <w:ind w:firstLine="1400"/>
        <w:jc w:val="both"/>
      </w:pPr>
      <w:r>
        <w:rPr>
          <w:rFonts w:ascii="Courier New" w:hAnsi="Courier New" w:cs="Courier New"/>
        </w:rPr>
        <w:t xml:space="preserve">En consecuencia, explica que su representada ha dado estricto y oportuno cumplimiento a través de la plataforma </w:t>
      </w:r>
      <w:r>
        <w:rPr>
          <w:rFonts w:ascii="Courier New" w:hAnsi="Courier New" w:cs="Courier New"/>
          <w:i/>
          <w:iCs/>
        </w:rPr>
        <w:t>web</w:t>
      </w:r>
      <w:r>
        <w:rPr>
          <w:rFonts w:ascii="Courier New" w:hAnsi="Courier New" w:cs="Courier New"/>
        </w:rPr>
        <w:t xml:space="preserve"> proporcionada por la Provincia, con la publicación de la ordenanza en el “Sistema de Boletines Oficiales Municipales” (SIBOM), conforme lo previsto en el art. 108 inc. 18 de la Ley Orgánica de las Municipalidades -decreto ley 6769/58-.</w:t>
      </w:r>
    </w:p>
    <w:p w:rsidR="007553E4" w:rsidRDefault="007553E4" w:rsidP="007553E4">
      <w:pPr>
        <w:pStyle w:val="NormalWeb"/>
        <w:spacing w:line="360" w:lineRule="auto"/>
        <w:ind w:firstLine="1400"/>
        <w:jc w:val="both"/>
      </w:pPr>
      <w:r>
        <w:rPr>
          <w:rFonts w:ascii="Courier New" w:hAnsi="Courier New" w:cs="Courier New"/>
        </w:rPr>
        <w:t xml:space="preserve">Al mismo tiempo, resalta la naturaleza patrimonial de la cuestión controvertida y, debido a esto, afirma que devienen inaplicables las excepciones contempladas en el art. 685 del Código Procesal Civil y Comercial invocadas. Para más, indica que tampoco debe resultar de recibo la tesis de la finalidad preventiva esgrimida por la accionante, puesto que los preceptos impugnados no sólo ya han sido efectivamente aplicados, sino que, también, gran parte de las empresas enumeradas en la demanda han abonado en tiempo y forma la tasa controvertida. Por esta razón, concluye que la cuestión planteada escapa a la competencia originaria y exclusiva de este Tribunal en los términos del art. 161 </w:t>
      </w:r>
      <w:proofErr w:type="gramStart"/>
      <w:r>
        <w:rPr>
          <w:rFonts w:ascii="Courier New" w:hAnsi="Courier New" w:cs="Courier New"/>
        </w:rPr>
        <w:t>inc.</w:t>
      </w:r>
      <w:proofErr w:type="gramEnd"/>
      <w:r>
        <w:rPr>
          <w:rFonts w:ascii="Courier New" w:hAnsi="Courier New" w:cs="Courier New"/>
        </w:rPr>
        <w:t xml:space="preserve"> 1 de la Constitución provincial.</w:t>
      </w:r>
    </w:p>
    <w:p w:rsidR="007553E4" w:rsidRDefault="007553E4" w:rsidP="007553E4">
      <w:pPr>
        <w:pStyle w:val="NormalWeb"/>
        <w:spacing w:line="360" w:lineRule="auto"/>
        <w:ind w:firstLine="1400"/>
        <w:jc w:val="both"/>
      </w:pPr>
      <w:r>
        <w:rPr>
          <w:rFonts w:ascii="Courier New" w:hAnsi="Courier New" w:cs="Courier New"/>
        </w:rPr>
        <w:t>Finalmente, con fecha 13 de abril de 2021 contesta demanda y refuta el planteo de inconstitucionalidad incoado.</w:t>
      </w:r>
    </w:p>
    <w:p w:rsidR="007553E4" w:rsidRDefault="007553E4" w:rsidP="007553E4">
      <w:pPr>
        <w:pStyle w:val="NormalWeb"/>
        <w:spacing w:line="360" w:lineRule="auto"/>
        <w:ind w:firstLine="1400"/>
        <w:jc w:val="both"/>
      </w:pPr>
      <w:r>
        <w:rPr>
          <w:rFonts w:ascii="Courier New" w:hAnsi="Courier New" w:cs="Courier New"/>
        </w:rPr>
        <w:t xml:space="preserve">IV. El día 30 de marzo de 2021 se presenta la empresa British American </w:t>
      </w:r>
      <w:proofErr w:type="spellStart"/>
      <w:r>
        <w:rPr>
          <w:rFonts w:ascii="Courier New" w:hAnsi="Courier New" w:cs="Courier New"/>
        </w:rPr>
        <w:t>Tobacco</w:t>
      </w:r>
      <w:proofErr w:type="spellEnd"/>
      <w:r>
        <w:rPr>
          <w:rFonts w:ascii="Courier New" w:hAnsi="Courier New" w:cs="Courier New"/>
        </w:rPr>
        <w:t xml:space="preserve"> Argentina </w:t>
      </w:r>
      <w:proofErr w:type="spellStart"/>
      <w:r>
        <w:rPr>
          <w:rFonts w:ascii="Courier New" w:hAnsi="Courier New" w:cs="Courier New"/>
        </w:rPr>
        <w:t>SAICyF</w:t>
      </w:r>
      <w:proofErr w:type="spellEnd"/>
      <w:r>
        <w:rPr>
          <w:rFonts w:ascii="Courier New" w:hAnsi="Courier New" w:cs="Courier New"/>
        </w:rPr>
        <w:t xml:space="preserve"> -a través de su </w:t>
      </w:r>
      <w:r>
        <w:rPr>
          <w:rFonts w:ascii="Courier New" w:hAnsi="Courier New" w:cs="Courier New"/>
        </w:rPr>
        <w:lastRenderedPageBreak/>
        <w:t>apoderado- y manifiesta que, tras tomar conocimiento del objeto y contenido de la presente acción, no adhiere a la pretensión instaurada por la Cámara Empresaria del Parque Industrial de Pilar. Por consiguiente, solicita que no se lo tenga por representado en el reclamo instado y se lo excluya del proceso.</w:t>
      </w:r>
    </w:p>
    <w:p w:rsidR="007553E4" w:rsidRDefault="007553E4" w:rsidP="007553E4">
      <w:pPr>
        <w:pStyle w:val="NormalWeb"/>
        <w:spacing w:line="360" w:lineRule="auto"/>
        <w:ind w:firstLine="1400"/>
        <w:jc w:val="both"/>
      </w:pPr>
      <w:r>
        <w:rPr>
          <w:rFonts w:ascii="Courier New" w:hAnsi="Courier New" w:cs="Courier New"/>
        </w:rPr>
        <w:t xml:space="preserve">Por su parte, el día 7 de abril de 2021 comparece la firma </w:t>
      </w:r>
      <w:proofErr w:type="spellStart"/>
      <w:r>
        <w:rPr>
          <w:rFonts w:ascii="Courier New" w:hAnsi="Courier New" w:cs="Courier New"/>
        </w:rPr>
        <w:t>Transclor</w:t>
      </w:r>
      <w:proofErr w:type="spellEnd"/>
      <w:r>
        <w:rPr>
          <w:rFonts w:ascii="Courier New" w:hAnsi="Courier New" w:cs="Courier New"/>
        </w:rPr>
        <w:t xml:space="preserve"> SA -mediante apoderado- y expresa también su voluntad de permanecer excluido del pleito.</w:t>
      </w:r>
    </w:p>
    <w:p w:rsidR="007553E4" w:rsidRDefault="007553E4" w:rsidP="007553E4">
      <w:pPr>
        <w:pStyle w:val="NormalWeb"/>
        <w:spacing w:line="360" w:lineRule="auto"/>
        <w:ind w:firstLine="1400"/>
        <w:jc w:val="both"/>
      </w:pPr>
      <w:r>
        <w:rPr>
          <w:rFonts w:ascii="Courier New" w:hAnsi="Courier New" w:cs="Courier New"/>
        </w:rPr>
        <w:t xml:space="preserve">V. Sustanciadas las excepciones opuestas por la Municipalidad de Pilar, con fecha 9 de abril de 2021 la actora las resiste bajo los siguientes argumentos: a) afirma que la competencia de esta Corte atribuida por el art. 161 inc. 1 de la Constitución provincial es indudable, lo que se acreditaría -según lo considera- con el examen preliminar efectuado al correr traslado de la demanda en autos; b) refiere que no existe en nuestro ordenamiento procesal la defensa previa de “caducidad” ni un plazo de prescripción para plantear la inconstitucionalidad de una norma; c) puntualiza que el plazo de treinta días establecido en el art. 684 del código de rito no es aplicable en la especie, dado que su actuación se ciñe a las implicancias institucionales de la creación de la tasa cuestionada y no a la representación de los intereses patrimoniales particulares de sus asociados; d) eventualmente, manifiesta que la acción fue interpuesta de manera preventiva, porque no ha mediado “acto concreto de aplicación” alguno; y, por último, e) sostiene que la pretendida publicación en el Boletín Oficial digital no sustituye la obligación del municipio de imprimir una versión en soporte papel. </w:t>
      </w:r>
    </w:p>
    <w:p w:rsidR="007553E4" w:rsidRDefault="007553E4" w:rsidP="007553E4">
      <w:pPr>
        <w:pStyle w:val="NormalWeb"/>
        <w:spacing w:line="360" w:lineRule="auto"/>
        <w:ind w:firstLine="1400"/>
        <w:jc w:val="both"/>
      </w:pPr>
      <w:r>
        <w:rPr>
          <w:rFonts w:ascii="Courier New" w:hAnsi="Courier New" w:cs="Courier New"/>
        </w:rPr>
        <w:t xml:space="preserve">VI. Posteriormente, el día 4 de mayo de 2021, la Cámara Empresaria denuncia que se dictó el decreto 821/21 </w:t>
      </w:r>
      <w:r>
        <w:rPr>
          <w:rFonts w:ascii="Courier New" w:hAnsi="Courier New" w:cs="Courier New"/>
        </w:rPr>
        <w:lastRenderedPageBreak/>
        <w:t xml:space="preserve">reglamentario de la ordenanza 35/20 y, asimismo, que la Municipalidad inició una serie de inspecciones integrales “en las que pone a cargo del contribuyente la elaboración de cuantiosa información que -en la mayoría de los casos- no guarda relación con la determinación o cobro de tributos cuya percepción está a cargo de la demandada”. Al respecto, entiende que tal pedido es superfluo y que “solo puede relacionarse su inclusión con las sanciones bajo cuyo apercibimiento se remite la intimación, en particular la referida a la aplicación del art. 83 de la ordenanza fiscal vigente”. A la par, esgrime que al pretender la comuna que la tasa impugnada se aplique de forma inmediata, aún para el año fiscal 2020, se estaría violando el principio de irretroactividad de la ley. </w:t>
      </w:r>
    </w:p>
    <w:p w:rsidR="007553E4" w:rsidRDefault="007553E4" w:rsidP="007553E4">
      <w:pPr>
        <w:pStyle w:val="NormalWeb"/>
        <w:spacing w:line="360" w:lineRule="auto"/>
        <w:ind w:firstLine="1400"/>
        <w:jc w:val="both"/>
      </w:pPr>
      <w:r>
        <w:rPr>
          <w:rFonts w:ascii="Courier New" w:hAnsi="Courier New" w:cs="Courier New"/>
        </w:rPr>
        <w:t>En virtud de ello, ante el "inminente peligro de clausura originado en cuestiones directamente vinculadas a la controversia de autos" y la conducta -a su entender- arbitraria del municipio, reitera su pedido cautelar.</w:t>
      </w:r>
    </w:p>
    <w:p w:rsidR="007553E4" w:rsidRDefault="007553E4" w:rsidP="007553E4">
      <w:pPr>
        <w:pStyle w:val="NormalWeb"/>
        <w:spacing w:line="360" w:lineRule="auto"/>
        <w:ind w:firstLine="1400"/>
        <w:jc w:val="both"/>
      </w:pPr>
      <w:r>
        <w:rPr>
          <w:rFonts w:ascii="Courier New" w:hAnsi="Courier New" w:cs="Courier New"/>
        </w:rPr>
        <w:t xml:space="preserve">VII. Las actuaciones pasan al acuerdo del Tribunal con el objeto de resolver siguientes cuestiones: a) las excepciones de prescripción e incompetencia planteadas por el municipio y, en caso de no prosperar esas defensas, b) la solicitud de tutela precautoria articulada por la actora, c) las peticiones formuladas por las firmas por British American </w:t>
      </w:r>
      <w:proofErr w:type="spellStart"/>
      <w:r>
        <w:rPr>
          <w:rFonts w:ascii="Courier New" w:hAnsi="Courier New" w:cs="Courier New"/>
        </w:rPr>
        <w:t>Tobacco</w:t>
      </w:r>
      <w:proofErr w:type="spellEnd"/>
      <w:r>
        <w:rPr>
          <w:rFonts w:ascii="Courier New" w:hAnsi="Courier New" w:cs="Courier New"/>
        </w:rPr>
        <w:t xml:space="preserve"> Argentina </w:t>
      </w:r>
      <w:proofErr w:type="spellStart"/>
      <w:r>
        <w:rPr>
          <w:rFonts w:ascii="Courier New" w:hAnsi="Courier New" w:cs="Courier New"/>
        </w:rPr>
        <w:t>SAICyF</w:t>
      </w:r>
      <w:proofErr w:type="spellEnd"/>
      <w:r>
        <w:rPr>
          <w:rFonts w:ascii="Courier New" w:hAnsi="Courier New" w:cs="Courier New"/>
        </w:rPr>
        <w:t xml:space="preserve"> y </w:t>
      </w:r>
      <w:proofErr w:type="spellStart"/>
      <w:r>
        <w:rPr>
          <w:rFonts w:ascii="Courier New" w:hAnsi="Courier New" w:cs="Courier New"/>
        </w:rPr>
        <w:t>Transclor</w:t>
      </w:r>
      <w:proofErr w:type="spellEnd"/>
      <w:r>
        <w:rPr>
          <w:rFonts w:ascii="Courier New" w:hAnsi="Courier New" w:cs="Courier New"/>
        </w:rPr>
        <w:t xml:space="preserve"> SA de no ser tenidas por parte en las presentes actuaciones y d) la admisibilidad del hecho nuevo invocado por la demandante.</w:t>
      </w:r>
    </w:p>
    <w:p w:rsidR="007553E4" w:rsidRDefault="007553E4" w:rsidP="007553E4">
      <w:pPr>
        <w:pStyle w:val="NormalWeb"/>
        <w:spacing w:line="360" w:lineRule="auto"/>
        <w:ind w:firstLine="1400"/>
        <w:jc w:val="both"/>
      </w:pPr>
      <w:r>
        <w:rPr>
          <w:rFonts w:ascii="Courier New" w:hAnsi="Courier New" w:cs="Courier New"/>
        </w:rPr>
        <w:t xml:space="preserve">VIII. En primer lugar, cabe recordar que la competencia originaria de esta Suprema Corte, de acuerdo a lo previsto en el art. 161 inc. 1 de la Constitución, comprende el conocimiento y resolución de casos en los que se discuta </w:t>
      </w:r>
      <w:r>
        <w:rPr>
          <w:rFonts w:ascii="Courier New" w:hAnsi="Courier New" w:cs="Courier New"/>
        </w:rPr>
        <w:lastRenderedPageBreak/>
        <w:t>"la constitucionalidad o inconstitucionalidad de leyes, decretos, ordenanzas o reglamentos" que estatuyan sobre materia regida por ella y se controvierta por parte interesada. Y según doctrina constante, esto ocurre cuando se plantea un conflicto directo entre la disposición controvertida y las normas de la Carta local que se consideren infringidas (</w:t>
      </w:r>
      <w:proofErr w:type="spellStart"/>
      <w:r>
        <w:rPr>
          <w:rFonts w:ascii="Courier New" w:hAnsi="Courier New" w:cs="Courier New"/>
        </w:rPr>
        <w:t>doctr</w:t>
      </w:r>
      <w:proofErr w:type="spellEnd"/>
      <w:r>
        <w:rPr>
          <w:rFonts w:ascii="Courier New" w:hAnsi="Courier New" w:cs="Courier New"/>
        </w:rPr>
        <w:t>. causas I. 2204, "</w:t>
      </w:r>
      <w:proofErr w:type="spellStart"/>
      <w:r>
        <w:rPr>
          <w:rFonts w:ascii="Courier New" w:hAnsi="Courier New" w:cs="Courier New"/>
        </w:rPr>
        <w:t>Zamarreño</w:t>
      </w:r>
      <w:proofErr w:type="spellEnd"/>
      <w:r>
        <w:rPr>
          <w:rFonts w:ascii="Courier New" w:hAnsi="Courier New" w:cs="Courier New"/>
        </w:rPr>
        <w:t xml:space="preserve">", </w:t>
      </w:r>
      <w:proofErr w:type="spellStart"/>
      <w:r>
        <w:rPr>
          <w:rFonts w:ascii="Courier New" w:hAnsi="Courier New" w:cs="Courier New"/>
        </w:rPr>
        <w:t>sent</w:t>
      </w:r>
      <w:proofErr w:type="spellEnd"/>
      <w:r>
        <w:rPr>
          <w:rFonts w:ascii="Courier New" w:hAnsi="Courier New" w:cs="Courier New"/>
        </w:rPr>
        <w:t>. de 8-X-2008; B. 68.940, "Asociación Mutual del Personal de la Administración Pública", resol. de 13-XII-2006; B. 69.932, "</w:t>
      </w:r>
      <w:proofErr w:type="spellStart"/>
      <w:r>
        <w:rPr>
          <w:rFonts w:ascii="Courier New" w:hAnsi="Courier New" w:cs="Courier New"/>
        </w:rPr>
        <w:t>Citta</w:t>
      </w:r>
      <w:proofErr w:type="spellEnd"/>
      <w:r>
        <w:rPr>
          <w:rFonts w:ascii="Courier New" w:hAnsi="Courier New" w:cs="Courier New"/>
        </w:rPr>
        <w:t xml:space="preserve">", resol. de 3-XII-2008; B. 70.086, "Consorcio Exportador Pesquero S.A.", resol. de 29-IV-2009, I. 2213, "El Popular S.A.I.C.", </w:t>
      </w:r>
      <w:proofErr w:type="spellStart"/>
      <w:r>
        <w:rPr>
          <w:rFonts w:ascii="Courier New" w:hAnsi="Courier New" w:cs="Courier New"/>
        </w:rPr>
        <w:t>sent</w:t>
      </w:r>
      <w:proofErr w:type="spellEnd"/>
      <w:r>
        <w:rPr>
          <w:rFonts w:ascii="Courier New" w:hAnsi="Courier New" w:cs="Courier New"/>
        </w:rPr>
        <w:t xml:space="preserve">. de 24-XI-2010; </w:t>
      </w:r>
      <w:proofErr w:type="spellStart"/>
      <w:r>
        <w:rPr>
          <w:rFonts w:ascii="Courier New" w:hAnsi="Courier New" w:cs="Courier New"/>
        </w:rPr>
        <w:t>e.o</w:t>
      </w:r>
      <w:proofErr w:type="spellEnd"/>
      <w:r>
        <w:rPr>
          <w:rFonts w:ascii="Courier New" w:hAnsi="Courier New" w:cs="Courier New"/>
        </w:rPr>
        <w:t>.).</w:t>
      </w:r>
    </w:p>
    <w:p w:rsidR="007553E4" w:rsidRDefault="007553E4" w:rsidP="007553E4">
      <w:pPr>
        <w:pStyle w:val="NormalWeb"/>
        <w:spacing w:line="360" w:lineRule="auto"/>
        <w:ind w:firstLine="1400"/>
        <w:jc w:val="both"/>
      </w:pPr>
      <w:r>
        <w:rPr>
          <w:rFonts w:ascii="Courier New" w:hAnsi="Courier New" w:cs="Courier New"/>
        </w:rPr>
        <w:t xml:space="preserve">Este carril específico se encuentra regulado en el Capítulo I del Título IX del Código Procesal Civil y Comercial. Así, el art. 684 establece -como regla general- un límite temporal para el ejercicio de la acción respectiva cuando el asunto verse sobre cuestiones de naturaleza patrimonial, vencido el cual cesa la aludida competencia. Ello, claro está, sin desmedro de la posibilidad de los interesados para ocurrir a la jurisdicción ordinaria a fin de ver satisfecha su pretensión y, eventualmente, plantear la cuestión constitucional en esa sede (art. 684, </w:t>
      </w:r>
      <w:proofErr w:type="spellStart"/>
      <w:r>
        <w:rPr>
          <w:rFonts w:ascii="Courier New" w:hAnsi="Courier New" w:cs="Courier New"/>
        </w:rPr>
        <w:t>seg</w:t>
      </w:r>
      <w:proofErr w:type="spellEnd"/>
      <w:r>
        <w:rPr>
          <w:rFonts w:ascii="Courier New" w:hAnsi="Courier New" w:cs="Courier New"/>
        </w:rPr>
        <w:t>. párr., CPCC).</w:t>
      </w:r>
    </w:p>
    <w:p w:rsidR="007553E4" w:rsidRDefault="007553E4" w:rsidP="007553E4">
      <w:pPr>
        <w:pStyle w:val="NormalWeb"/>
        <w:spacing w:line="360" w:lineRule="auto"/>
        <w:ind w:firstLine="1400"/>
        <w:jc w:val="both"/>
      </w:pPr>
      <w:r>
        <w:rPr>
          <w:rFonts w:ascii="Courier New" w:hAnsi="Courier New" w:cs="Courier New"/>
        </w:rPr>
        <w:t>De lo expuesto, se colige que los planteos que involucren la cuestión relativa a la observancia del plazo de caducidad previsto para en este tipo de procesos -cuando éste resulte aplicable al caso- puedan ser canalizados a través de la excepción de incompetencia (</w:t>
      </w:r>
      <w:proofErr w:type="spellStart"/>
      <w:r>
        <w:rPr>
          <w:rFonts w:ascii="Courier New" w:hAnsi="Courier New" w:cs="Courier New"/>
        </w:rPr>
        <w:t>doctr</w:t>
      </w:r>
      <w:proofErr w:type="spellEnd"/>
      <w:r>
        <w:rPr>
          <w:rFonts w:ascii="Courier New" w:hAnsi="Courier New" w:cs="Courier New"/>
        </w:rPr>
        <w:t xml:space="preserve">. causas I. 1.456, "Fiscal de Estado", resol. de 18-VI-1991; I. 1.305, "Municipalidad de La Plata", </w:t>
      </w:r>
      <w:proofErr w:type="spellStart"/>
      <w:r>
        <w:rPr>
          <w:rFonts w:ascii="Courier New" w:hAnsi="Courier New" w:cs="Courier New"/>
        </w:rPr>
        <w:t>sent</w:t>
      </w:r>
      <w:proofErr w:type="spellEnd"/>
      <w:r>
        <w:rPr>
          <w:rFonts w:ascii="Courier New" w:hAnsi="Courier New" w:cs="Courier New"/>
        </w:rPr>
        <w:t xml:space="preserve">. de 17-VI-1997; I. 1.607, "Hidalgo", </w:t>
      </w:r>
      <w:proofErr w:type="spellStart"/>
      <w:r>
        <w:rPr>
          <w:rFonts w:ascii="Courier New" w:hAnsi="Courier New" w:cs="Courier New"/>
        </w:rPr>
        <w:t>sent</w:t>
      </w:r>
      <w:proofErr w:type="spellEnd"/>
      <w:r>
        <w:rPr>
          <w:rFonts w:ascii="Courier New" w:hAnsi="Courier New" w:cs="Courier New"/>
        </w:rPr>
        <w:t>. de 13-IV-1999 e I. 2.297, "</w:t>
      </w:r>
      <w:proofErr w:type="spellStart"/>
      <w:r>
        <w:rPr>
          <w:rFonts w:ascii="Courier New" w:hAnsi="Courier New" w:cs="Courier New"/>
        </w:rPr>
        <w:t>Perrota</w:t>
      </w:r>
      <w:proofErr w:type="spellEnd"/>
      <w:r>
        <w:rPr>
          <w:rFonts w:ascii="Courier New" w:hAnsi="Courier New" w:cs="Courier New"/>
        </w:rPr>
        <w:t>", resol. de 24-IV-2002).  </w:t>
      </w:r>
    </w:p>
    <w:p w:rsidR="007553E4" w:rsidRDefault="007553E4" w:rsidP="007553E4">
      <w:pPr>
        <w:pStyle w:val="NormalWeb"/>
        <w:spacing w:line="360" w:lineRule="auto"/>
        <w:ind w:firstLine="1400"/>
        <w:jc w:val="both"/>
      </w:pPr>
      <w:r>
        <w:rPr>
          <w:rFonts w:ascii="Courier New" w:hAnsi="Courier New" w:cs="Courier New"/>
        </w:rPr>
        <w:lastRenderedPageBreak/>
        <w:t xml:space="preserve">Sobre tales bases, corresponde desestimar el planteo formulado por la actora vinculado a la imposibilidad de articular una defensa previa de “caducidad” en el marco de las presentes actuaciones y que, a todo evento, tal asunto deba ser abordado en la sentencia definitiva (v. punto </w:t>
      </w:r>
      <w:proofErr w:type="spellStart"/>
      <w:r>
        <w:rPr>
          <w:rFonts w:ascii="Courier New" w:hAnsi="Courier New" w:cs="Courier New"/>
        </w:rPr>
        <w:t>II.ii</w:t>
      </w:r>
      <w:proofErr w:type="spellEnd"/>
      <w:r>
        <w:rPr>
          <w:rFonts w:ascii="Courier New" w:hAnsi="Courier New" w:cs="Courier New"/>
        </w:rPr>
        <w:t xml:space="preserve"> del escrito electrónico de fecha 9 de abril de 2021).</w:t>
      </w:r>
    </w:p>
    <w:p w:rsidR="007553E4" w:rsidRDefault="007553E4" w:rsidP="007553E4">
      <w:pPr>
        <w:pStyle w:val="NormalWeb"/>
        <w:spacing w:line="360" w:lineRule="auto"/>
        <w:ind w:firstLine="1400"/>
        <w:jc w:val="both"/>
      </w:pPr>
      <w:r>
        <w:rPr>
          <w:rFonts w:ascii="Courier New" w:hAnsi="Courier New" w:cs="Courier New"/>
        </w:rPr>
        <w:t xml:space="preserve">Igual suerte corre el argumento relativo a la inexistencia de un plazo de prescripción para plantear la inconstitucionalidad de cualquier norma. Es que, si bien la accionada yerra al oponer -a la par- las excepciones de prescripción e incompetencia, de la mera lectura del objeto de su presentación se desprende que se trata de una única e idéntica defensa. </w:t>
      </w:r>
    </w:p>
    <w:p w:rsidR="007553E4" w:rsidRDefault="007553E4" w:rsidP="007553E4">
      <w:pPr>
        <w:pStyle w:val="NormalWeb"/>
        <w:spacing w:line="360" w:lineRule="auto"/>
        <w:ind w:firstLine="1400"/>
        <w:jc w:val="both"/>
      </w:pPr>
      <w:r>
        <w:rPr>
          <w:rFonts w:ascii="Courier New" w:hAnsi="Courier New" w:cs="Courier New"/>
        </w:rPr>
        <w:t>Así, el municipio esgrime que “en tiempo y forma viene a deducir la excepción procesal de previo y especial pronunciamiento de prescripción (conforme arts. 344, CPCC) con relación al inicio de la presente acción ante la Suprema Corte de Justicia de la Nación y como consecuencia de ello la incompetencia de la misma para actuar, solicitando en consecuencia se declare inadmisible la demanda instaurada por la parte actora” (sic, punto II del escrito electrónico de fecha 26 de marzo de 2021).</w:t>
      </w:r>
    </w:p>
    <w:p w:rsidR="007553E4" w:rsidRDefault="007553E4" w:rsidP="007553E4">
      <w:pPr>
        <w:pStyle w:val="NormalWeb"/>
        <w:spacing w:line="360" w:lineRule="auto"/>
        <w:ind w:firstLine="1400"/>
        <w:jc w:val="both"/>
      </w:pPr>
      <w:r>
        <w:rPr>
          <w:rFonts w:ascii="Courier New" w:hAnsi="Courier New" w:cs="Courier New"/>
        </w:rPr>
        <w:t xml:space="preserve">Tal confusión se esclarece en el desarrollo expositivo articulado, en tanto precisa que “a la fecha ha vencido el plazo otorgado para interponer la presenta acción como demanda originaria ante la Suprema Corte de Justicia de la Nación. Preliminarmente por haber vencido el plazo (1) y sumado a ello por no encontrarse el caso de autos contemplado en los supuestos de excepción previstos en el art. 685 del CPCC, por tratarse de una pretensión de carácter patrimonial </w:t>
      </w:r>
      <w:r>
        <w:rPr>
          <w:rFonts w:ascii="Courier New" w:hAnsi="Courier New" w:cs="Courier New"/>
        </w:rPr>
        <w:lastRenderedPageBreak/>
        <w:t>(2)” (sic, punto III del escrito electrónico de fecha 26 de marzo de 2021).</w:t>
      </w:r>
    </w:p>
    <w:p w:rsidR="007553E4" w:rsidRDefault="007553E4" w:rsidP="007553E4">
      <w:pPr>
        <w:pStyle w:val="NormalWeb"/>
        <w:spacing w:line="360" w:lineRule="auto"/>
        <w:ind w:firstLine="1400"/>
        <w:jc w:val="both"/>
      </w:pPr>
      <w:r>
        <w:rPr>
          <w:rFonts w:ascii="Courier New" w:hAnsi="Courier New" w:cs="Courier New"/>
        </w:rPr>
        <w:t>En consecuencia, tratándose -como se ha indicado- de una única excepción erróneamente denominada, más allá de la confusión que también se advierte en punto al tribunal competente, siendo admisible su oposición, cabe entonces abocarse al tratamiento de esta cuestión.</w:t>
      </w:r>
    </w:p>
    <w:p w:rsidR="007553E4" w:rsidRDefault="007553E4" w:rsidP="007553E4">
      <w:pPr>
        <w:pStyle w:val="NormalWeb"/>
        <w:spacing w:line="360" w:lineRule="auto"/>
        <w:ind w:firstLine="1400"/>
        <w:jc w:val="both"/>
      </w:pPr>
      <w:r>
        <w:rPr>
          <w:rFonts w:ascii="Courier New" w:hAnsi="Courier New" w:cs="Courier New"/>
        </w:rPr>
        <w:t>IX. Las partes discrepan acerca del carácter patrimonial de la pretensión esgrimida y, por consiguiente, de la eventual aplicación del plazo de caducidad establecido en el art. 684 del Código Procesal Civil y Comercial. También se hallan en desacuerdo sobre el momento a partir del cual debe operar su cómputo en caso de prosperar aquella primera cuestión.</w:t>
      </w:r>
    </w:p>
    <w:p w:rsidR="007553E4" w:rsidRDefault="007553E4" w:rsidP="007553E4">
      <w:pPr>
        <w:pStyle w:val="NormalWeb"/>
        <w:spacing w:line="360" w:lineRule="auto"/>
        <w:ind w:firstLine="1400"/>
        <w:jc w:val="both"/>
      </w:pPr>
      <w:r>
        <w:rPr>
          <w:rFonts w:ascii="Courier New" w:hAnsi="Courier New" w:cs="Courier New"/>
        </w:rPr>
        <w:t>Esta Corte ha precisado que la naturaleza patrimonial del juicio se evidencia allí donde la acción es entablada para salvaguardar derechos o intereses económicos eventualmente afectados por el precepto reputado inconstitucional o irregular, no debiéndose prescindir de tal carácter por el hecho de que se aleguen otros daños no patrimoniales que aparecen como complementarios del interés primario en cuya defensa se acciona (</w:t>
      </w:r>
      <w:proofErr w:type="spellStart"/>
      <w:r>
        <w:rPr>
          <w:rFonts w:ascii="Courier New" w:hAnsi="Courier New" w:cs="Courier New"/>
        </w:rPr>
        <w:t>doctr</w:t>
      </w:r>
      <w:proofErr w:type="spellEnd"/>
      <w:r>
        <w:rPr>
          <w:rFonts w:ascii="Courier New" w:hAnsi="Courier New" w:cs="Courier New"/>
        </w:rPr>
        <w:t xml:space="preserve">. causa I. 1335, "Club Atlético Brown", </w:t>
      </w:r>
      <w:proofErr w:type="spellStart"/>
      <w:r>
        <w:rPr>
          <w:rFonts w:ascii="Courier New" w:hAnsi="Courier New" w:cs="Courier New"/>
        </w:rPr>
        <w:t>sent</w:t>
      </w:r>
      <w:proofErr w:type="spellEnd"/>
      <w:r>
        <w:rPr>
          <w:rFonts w:ascii="Courier New" w:hAnsi="Courier New" w:cs="Courier New"/>
        </w:rPr>
        <w:t>. de 27-IX-1994).</w:t>
      </w:r>
    </w:p>
    <w:p w:rsidR="007553E4" w:rsidRDefault="007553E4" w:rsidP="007553E4">
      <w:pPr>
        <w:pStyle w:val="NormalWeb"/>
        <w:spacing w:line="360" w:lineRule="auto"/>
        <w:ind w:firstLine="1400"/>
        <w:jc w:val="both"/>
      </w:pPr>
      <w:r>
        <w:rPr>
          <w:rFonts w:ascii="Courier New" w:hAnsi="Courier New" w:cs="Courier New"/>
        </w:rPr>
        <w:t xml:space="preserve">La actora sostiene que no es un sujeto obligado al pago de la tasa impugnada, razón por la cual -para ella- “la norma atacada no posee contenido patrimonial, siendo su interés en la promoción de la acción meramente institucional y por lo tanto </w:t>
      </w:r>
      <w:proofErr w:type="spellStart"/>
      <w:r>
        <w:rPr>
          <w:rFonts w:ascii="Courier New" w:hAnsi="Courier New" w:cs="Courier New"/>
        </w:rPr>
        <w:t>extrapatrimonial</w:t>
      </w:r>
      <w:proofErr w:type="spellEnd"/>
      <w:r>
        <w:rPr>
          <w:rFonts w:ascii="Courier New" w:hAnsi="Courier New" w:cs="Courier New"/>
        </w:rPr>
        <w:t xml:space="preserve">”. Afirma, asimismo, que no actúa como apoderada o representante legal particular de sus miembros y </w:t>
      </w:r>
      <w:r>
        <w:rPr>
          <w:rFonts w:ascii="Courier New" w:hAnsi="Courier New" w:cs="Courier New"/>
        </w:rPr>
        <w:lastRenderedPageBreak/>
        <w:t xml:space="preserve">continúa expresando que “sus asociados pueden coincidir o no con el reclamo contenido en la demanda, renunciando al beneficio que se derivaría para ellos del eventual acogimiento de la acción, o promover acciones individuales por la vía procesal que estimen más conveniente” (v. punto </w:t>
      </w:r>
      <w:proofErr w:type="spellStart"/>
      <w:r>
        <w:rPr>
          <w:rFonts w:ascii="Courier New" w:hAnsi="Courier New" w:cs="Courier New"/>
        </w:rPr>
        <w:t>II.ii</w:t>
      </w:r>
      <w:proofErr w:type="spellEnd"/>
      <w:r>
        <w:rPr>
          <w:rFonts w:ascii="Courier New" w:hAnsi="Courier New" w:cs="Courier New"/>
        </w:rPr>
        <w:t xml:space="preserve"> de la presentación electrónica de fecha 9 de abril de 2021).</w:t>
      </w:r>
    </w:p>
    <w:p w:rsidR="007553E4" w:rsidRDefault="007553E4" w:rsidP="007553E4">
      <w:pPr>
        <w:pStyle w:val="NormalWeb"/>
        <w:spacing w:line="360" w:lineRule="auto"/>
        <w:ind w:firstLine="1400"/>
        <w:jc w:val="both"/>
      </w:pPr>
      <w:r>
        <w:rPr>
          <w:rFonts w:ascii="Courier New" w:hAnsi="Courier New" w:cs="Courier New"/>
        </w:rPr>
        <w:t>Ahora bien, pese a las manifestaciones vertidas en contrario por la demandante, de los términos del escrito de inicio se extrae que la naturaleza de la norma cuestionada y los agravios en los que se funda la impugnación revisten un contenido eminentemente patrimonial, en tanto se controvierte el establecimiento de una tasa para la prestación de determinados servicios en el ámbito del municipio de Pilar. Esto sin lugar a dudas define el contenido de la acción y, con ello, llama a la observancia del plazo de caducidad señalado en el art. 684 del código de rito (</w:t>
      </w:r>
      <w:proofErr w:type="spellStart"/>
      <w:r>
        <w:rPr>
          <w:rFonts w:ascii="Courier New" w:hAnsi="Courier New" w:cs="Courier New"/>
        </w:rPr>
        <w:t>doctr</w:t>
      </w:r>
      <w:proofErr w:type="spellEnd"/>
      <w:r>
        <w:rPr>
          <w:rFonts w:ascii="Courier New" w:hAnsi="Courier New" w:cs="Courier New"/>
        </w:rPr>
        <w:t>. causas I. 70.883, "</w:t>
      </w:r>
      <w:proofErr w:type="spellStart"/>
      <w:r>
        <w:rPr>
          <w:rFonts w:ascii="Courier New" w:hAnsi="Courier New" w:cs="Courier New"/>
        </w:rPr>
        <w:t>D'Argenio</w:t>
      </w:r>
      <w:proofErr w:type="spellEnd"/>
      <w:r>
        <w:rPr>
          <w:rFonts w:ascii="Courier New" w:hAnsi="Courier New" w:cs="Courier New"/>
        </w:rPr>
        <w:t xml:space="preserve">", resol. de 19-V-2010; I. 69.175, "Distribuidora REL S.R.L.", resol. de 13-IV-2011; I. 1.861, "Rodríguez", </w:t>
      </w:r>
      <w:proofErr w:type="spellStart"/>
      <w:r>
        <w:rPr>
          <w:rFonts w:ascii="Courier New" w:hAnsi="Courier New" w:cs="Courier New"/>
        </w:rPr>
        <w:t>sent</w:t>
      </w:r>
      <w:proofErr w:type="spellEnd"/>
      <w:r>
        <w:rPr>
          <w:rFonts w:ascii="Courier New" w:hAnsi="Courier New" w:cs="Courier New"/>
        </w:rPr>
        <w:t>. de 1-VI-2011; I. 74.191, "</w:t>
      </w:r>
      <w:proofErr w:type="spellStart"/>
      <w:r>
        <w:rPr>
          <w:rFonts w:ascii="Courier New" w:hAnsi="Courier New" w:cs="Courier New"/>
        </w:rPr>
        <w:t>Antivari</w:t>
      </w:r>
      <w:proofErr w:type="spellEnd"/>
      <w:r>
        <w:rPr>
          <w:rFonts w:ascii="Courier New" w:hAnsi="Courier New" w:cs="Courier New"/>
        </w:rPr>
        <w:t xml:space="preserve"> S.A.", resol. de 10-VIII-2016; "Bolsa de Cereales, Oleaginosos, Frutos y Productos de Bahía Blanca", resol. de 27-VI-2018; I. 74.210, "</w:t>
      </w:r>
      <w:proofErr w:type="spellStart"/>
      <w:r>
        <w:rPr>
          <w:rFonts w:ascii="Courier New" w:hAnsi="Courier New" w:cs="Courier New"/>
        </w:rPr>
        <w:t>Bolsatodo</w:t>
      </w:r>
      <w:proofErr w:type="spellEnd"/>
      <w:r>
        <w:rPr>
          <w:rFonts w:ascii="Courier New" w:hAnsi="Courier New" w:cs="Courier New"/>
        </w:rPr>
        <w:t xml:space="preserve"> S.R.L.", resol. de 21-XI-20118; I. 72.214, "</w:t>
      </w:r>
      <w:proofErr w:type="spellStart"/>
      <w:r>
        <w:rPr>
          <w:rFonts w:ascii="Courier New" w:hAnsi="Courier New" w:cs="Courier New"/>
        </w:rPr>
        <w:t>Quiet</w:t>
      </w:r>
      <w:proofErr w:type="spellEnd"/>
      <w:r>
        <w:rPr>
          <w:rFonts w:ascii="Courier New" w:hAnsi="Courier New" w:cs="Courier New"/>
        </w:rPr>
        <w:t xml:space="preserve"> S.A.", </w:t>
      </w:r>
      <w:proofErr w:type="spellStart"/>
      <w:r>
        <w:rPr>
          <w:rFonts w:ascii="Courier New" w:hAnsi="Courier New" w:cs="Courier New"/>
        </w:rPr>
        <w:t>sent</w:t>
      </w:r>
      <w:proofErr w:type="spellEnd"/>
      <w:r>
        <w:rPr>
          <w:rFonts w:ascii="Courier New" w:hAnsi="Courier New" w:cs="Courier New"/>
        </w:rPr>
        <w:t xml:space="preserve">. de 10-IV-2019; </w:t>
      </w:r>
      <w:proofErr w:type="spellStart"/>
      <w:r>
        <w:rPr>
          <w:rFonts w:ascii="Courier New" w:hAnsi="Courier New" w:cs="Courier New"/>
        </w:rPr>
        <w:t>e.o</w:t>
      </w:r>
      <w:proofErr w:type="spellEnd"/>
      <w:r>
        <w:rPr>
          <w:rFonts w:ascii="Courier New" w:hAnsi="Courier New" w:cs="Courier New"/>
        </w:rPr>
        <w:t>.).</w:t>
      </w:r>
    </w:p>
    <w:p w:rsidR="007553E4" w:rsidRDefault="007553E4" w:rsidP="007553E4">
      <w:pPr>
        <w:pStyle w:val="NormalWeb"/>
        <w:spacing w:line="360" w:lineRule="auto"/>
        <w:ind w:firstLine="1400"/>
        <w:jc w:val="both"/>
      </w:pPr>
      <w:r>
        <w:rPr>
          <w:rFonts w:ascii="Courier New" w:hAnsi="Courier New" w:cs="Courier New"/>
        </w:rPr>
        <w:t xml:space="preserve">Es que, sin perjuicio del esfuerzo argumentativo que ahora realiza la actora para disociar sus intereses de los de sus miembros, tal postura se contradice con las razones expuestas en su escrito inaugural para arrogarse la representación del grupo. </w:t>
      </w:r>
    </w:p>
    <w:p w:rsidR="007553E4" w:rsidRDefault="007553E4" w:rsidP="007553E4">
      <w:pPr>
        <w:pStyle w:val="NormalWeb"/>
        <w:spacing w:line="360" w:lineRule="auto"/>
        <w:ind w:firstLine="1400"/>
        <w:jc w:val="both"/>
      </w:pPr>
      <w:r>
        <w:rPr>
          <w:rFonts w:ascii="Courier New" w:hAnsi="Courier New" w:cs="Courier New"/>
        </w:rPr>
        <w:t xml:space="preserve">En este punto, cabe recordar que la Cámara Empresaria funda la legitimación para intervenir en estas actuaciones en </w:t>
      </w:r>
      <w:r>
        <w:rPr>
          <w:rFonts w:ascii="Courier New" w:hAnsi="Courier New" w:cs="Courier New"/>
        </w:rPr>
        <w:lastRenderedPageBreak/>
        <w:t xml:space="preserve">lo previsto en los arts. 1, 2 y 3 de su estatuto constitutivo y destaca que “la pretensión que se deduce precisamente persigue la defensa de los intereses </w:t>
      </w:r>
      <w:proofErr w:type="spellStart"/>
      <w:r>
        <w:rPr>
          <w:rFonts w:ascii="Courier New" w:hAnsi="Courier New" w:cs="Courier New"/>
        </w:rPr>
        <w:t>pluriindividuales</w:t>
      </w:r>
      <w:proofErr w:type="spellEnd"/>
      <w:r>
        <w:rPr>
          <w:rFonts w:ascii="Courier New" w:hAnsi="Courier New" w:cs="Courier New"/>
        </w:rPr>
        <w:t xml:space="preserve"> homogéneos de las empresas asociadas, afectadas por la ilegítima y arbitraria pretensión del Municipio de Pilar de cobrarles la llamada tasa para el desarrollo de la infraestructura y promoción del empleo local”. A esto, agrega que esos intereses comunes que atañen como grupo a los diversos asociados se nuclean en el no sometimiento a la supuesta "obligación impositiva ilegítima e inconstitucional” y que las empresas asociadas integran el universo de sujetos afectados por el precepto en crisis por hallarse obligadas al pago de este tributo (v. punto III del escrito electrónico de fecha 12 de marzo de 2021).</w:t>
      </w:r>
    </w:p>
    <w:p w:rsidR="007553E4" w:rsidRDefault="007553E4" w:rsidP="007553E4">
      <w:pPr>
        <w:pStyle w:val="NormalWeb"/>
        <w:spacing w:line="360" w:lineRule="auto"/>
        <w:ind w:firstLine="1400"/>
        <w:jc w:val="both"/>
      </w:pPr>
      <w:r>
        <w:rPr>
          <w:rFonts w:ascii="Courier New" w:hAnsi="Courier New" w:cs="Courier New"/>
        </w:rPr>
        <w:t>Para más, en su postulación inicial, la actora solicita el dictado de una medida que suspenda cautelarmente la aplicación de la tasa a sus miembros, hasta tanto se dicte sentencia definitiva y expresa que “el peligro en la demora se verifica no sólo en el perjuicio económico que producirá a los asociados”, sino también en “la innumerable cantidad de pedidos de repetición con accesorios que le formularán los interesados” (v. punto X de la presentación electrónica de fecha 12 de marzo de 2021).</w:t>
      </w:r>
    </w:p>
    <w:p w:rsidR="007553E4" w:rsidRDefault="007553E4" w:rsidP="007553E4">
      <w:pPr>
        <w:pStyle w:val="NormalWeb"/>
        <w:spacing w:line="360" w:lineRule="auto"/>
        <w:ind w:firstLine="1400"/>
        <w:jc w:val="both"/>
      </w:pPr>
      <w:r>
        <w:rPr>
          <w:rFonts w:ascii="Courier New" w:hAnsi="Courier New" w:cs="Courier New"/>
        </w:rPr>
        <w:t>Es que, si bien nada obsta a que las asociaciones como la aquí actora puedan presentarse ante esta Corte a través de la acción declarativa de inconstitucionalidad en resguardo de sus propios intereses y de los que atañen a sus asociados como tales, es necesario que éstas se vean afectadas -en cuanto a su actividad concierne- por normas locales que consideren contrarias a la Constitución provincial (</w:t>
      </w:r>
      <w:proofErr w:type="spellStart"/>
      <w:r>
        <w:rPr>
          <w:rFonts w:ascii="Courier New" w:hAnsi="Courier New" w:cs="Courier New"/>
        </w:rPr>
        <w:t>arg</w:t>
      </w:r>
      <w:proofErr w:type="spellEnd"/>
      <w:r>
        <w:rPr>
          <w:rFonts w:ascii="Courier New" w:hAnsi="Courier New" w:cs="Courier New"/>
        </w:rPr>
        <w:t xml:space="preserve">. arts. 41 y 161 </w:t>
      </w:r>
      <w:r>
        <w:rPr>
          <w:rFonts w:ascii="Courier New" w:hAnsi="Courier New" w:cs="Courier New"/>
        </w:rPr>
        <w:lastRenderedPageBreak/>
        <w:t xml:space="preserve">inc. 1, Const. prov., </w:t>
      </w:r>
      <w:proofErr w:type="spellStart"/>
      <w:r>
        <w:rPr>
          <w:rFonts w:ascii="Courier New" w:hAnsi="Courier New" w:cs="Courier New"/>
        </w:rPr>
        <w:t>doctr</w:t>
      </w:r>
      <w:proofErr w:type="spellEnd"/>
      <w:r>
        <w:rPr>
          <w:rFonts w:ascii="Courier New" w:hAnsi="Courier New" w:cs="Courier New"/>
        </w:rPr>
        <w:t>. causa I. 75.211, “Asociación de Bancos de Capitales Argentinos -ADEBA-", resol. de 26-XI-2020).</w:t>
      </w:r>
    </w:p>
    <w:p w:rsidR="007553E4" w:rsidRDefault="007553E4" w:rsidP="007553E4">
      <w:pPr>
        <w:pStyle w:val="NormalWeb"/>
        <w:spacing w:line="360" w:lineRule="auto"/>
        <w:ind w:firstLine="1400"/>
        <w:jc w:val="both"/>
      </w:pPr>
      <w:r>
        <w:rPr>
          <w:rFonts w:ascii="Courier New" w:hAnsi="Courier New" w:cs="Courier New"/>
        </w:rPr>
        <w:t>Sin embargo, tal circunstancia no puede importar la transformación en este estadio procesal del objeto de la pretensión oportunamente esgrimida (conf. art. 331, CPCC). Por esa razón, la justificación introducida por la actora que a su juicio desplazaría la aplicación del plazo de caducidad, por tratarse de un supuesto de excepción previsto en el art. 685 del Código Procesal Civil y Comercial ante el carácter institucional del asunto -además de no verificarse, de acuerdo al análisis que antecede-, deviene inatendible.</w:t>
      </w:r>
    </w:p>
    <w:p w:rsidR="007553E4" w:rsidRDefault="007553E4" w:rsidP="007553E4">
      <w:pPr>
        <w:pStyle w:val="NormalWeb"/>
        <w:spacing w:line="360" w:lineRule="auto"/>
        <w:ind w:firstLine="1400"/>
        <w:jc w:val="both"/>
      </w:pPr>
      <w:r>
        <w:rPr>
          <w:rFonts w:ascii="Courier New" w:hAnsi="Courier New" w:cs="Courier New"/>
        </w:rPr>
        <w:t>X. Definido el contenido patrimonial del caso, corresponde entonces analizar la tempestividad de la pretensión constitucional a la luz de los lineamientos antes expuestos.</w:t>
      </w:r>
    </w:p>
    <w:p w:rsidR="007553E4" w:rsidRDefault="007553E4" w:rsidP="007553E4">
      <w:pPr>
        <w:pStyle w:val="NormalWeb"/>
        <w:spacing w:line="360" w:lineRule="auto"/>
        <w:ind w:firstLine="1400"/>
        <w:jc w:val="both"/>
      </w:pPr>
      <w:r>
        <w:rPr>
          <w:rFonts w:ascii="Courier New" w:hAnsi="Courier New" w:cs="Courier New"/>
        </w:rPr>
        <w:t>De acuerdo al art. 684 del código de rito, el plazo de caducidad de la acción debe computarse "…desde que el precepto impugnado afecte concretamente los derechos patrimoniales del actor"; con lo cual, más allá del supuesto en que la pretensión es ejercida con finalidad preventiva, el momento a partir del cual comienza a correr dicho término es una cuestión de hecho que ha de verificarse en cada caso (</w:t>
      </w:r>
      <w:proofErr w:type="spellStart"/>
      <w:r>
        <w:rPr>
          <w:rFonts w:ascii="Courier New" w:hAnsi="Courier New" w:cs="Courier New"/>
        </w:rPr>
        <w:t>doctr</w:t>
      </w:r>
      <w:proofErr w:type="spellEnd"/>
      <w:r>
        <w:rPr>
          <w:rFonts w:ascii="Courier New" w:hAnsi="Courier New" w:cs="Courier New"/>
        </w:rPr>
        <w:t xml:space="preserve">. causas I. 1.591, "González", </w:t>
      </w:r>
      <w:proofErr w:type="spellStart"/>
      <w:r>
        <w:rPr>
          <w:rFonts w:ascii="Courier New" w:hAnsi="Courier New" w:cs="Courier New"/>
        </w:rPr>
        <w:t>sent</w:t>
      </w:r>
      <w:proofErr w:type="spellEnd"/>
      <w:r>
        <w:rPr>
          <w:rFonts w:ascii="Courier New" w:hAnsi="Courier New" w:cs="Courier New"/>
        </w:rPr>
        <w:t>. de 20-X-1998; I. 2.148, "</w:t>
      </w:r>
      <w:proofErr w:type="spellStart"/>
      <w:r>
        <w:rPr>
          <w:rFonts w:ascii="Courier New" w:hAnsi="Courier New" w:cs="Courier New"/>
        </w:rPr>
        <w:t>Mule</w:t>
      </w:r>
      <w:proofErr w:type="spellEnd"/>
      <w:r>
        <w:rPr>
          <w:rFonts w:ascii="Courier New" w:hAnsi="Courier New" w:cs="Courier New"/>
        </w:rPr>
        <w:t xml:space="preserve">", </w:t>
      </w:r>
      <w:proofErr w:type="spellStart"/>
      <w:r>
        <w:rPr>
          <w:rFonts w:ascii="Courier New" w:hAnsi="Courier New" w:cs="Courier New"/>
        </w:rPr>
        <w:t>sent</w:t>
      </w:r>
      <w:proofErr w:type="spellEnd"/>
      <w:r>
        <w:rPr>
          <w:rFonts w:ascii="Courier New" w:hAnsi="Courier New" w:cs="Courier New"/>
        </w:rPr>
        <w:t xml:space="preserve">. de 21-V-2008; I. 3.231, "Supermercados Norte S.A.", </w:t>
      </w:r>
      <w:proofErr w:type="spellStart"/>
      <w:r>
        <w:rPr>
          <w:rFonts w:ascii="Courier New" w:hAnsi="Courier New" w:cs="Courier New"/>
        </w:rPr>
        <w:t>sent</w:t>
      </w:r>
      <w:proofErr w:type="spellEnd"/>
      <w:r>
        <w:rPr>
          <w:rFonts w:ascii="Courier New" w:hAnsi="Courier New" w:cs="Courier New"/>
        </w:rPr>
        <w:t>. de 15-XII-2015; I. 74.210, cit.; I. 72.510, "</w:t>
      </w:r>
      <w:proofErr w:type="spellStart"/>
      <w:r>
        <w:rPr>
          <w:rFonts w:ascii="Courier New" w:hAnsi="Courier New" w:cs="Courier New"/>
        </w:rPr>
        <w:t>Tarasiuk</w:t>
      </w:r>
      <w:proofErr w:type="spellEnd"/>
      <w:r>
        <w:rPr>
          <w:rFonts w:ascii="Courier New" w:hAnsi="Courier New" w:cs="Courier New"/>
        </w:rPr>
        <w:t xml:space="preserve">", resol. de 17-X-2018; I. 72.214, cit.; </w:t>
      </w:r>
      <w:proofErr w:type="spellStart"/>
      <w:r>
        <w:rPr>
          <w:rFonts w:ascii="Courier New" w:hAnsi="Courier New" w:cs="Courier New"/>
        </w:rPr>
        <w:t>e.o</w:t>
      </w:r>
      <w:proofErr w:type="spellEnd"/>
      <w:r>
        <w:rPr>
          <w:rFonts w:ascii="Courier New" w:hAnsi="Courier New" w:cs="Courier New"/>
        </w:rPr>
        <w:t>.).</w:t>
      </w:r>
    </w:p>
    <w:p w:rsidR="007553E4" w:rsidRDefault="007553E4" w:rsidP="007553E4">
      <w:pPr>
        <w:pStyle w:val="NormalWeb"/>
        <w:spacing w:line="360" w:lineRule="auto"/>
        <w:ind w:firstLine="1400"/>
        <w:jc w:val="both"/>
      </w:pPr>
      <w:r>
        <w:rPr>
          <w:rFonts w:ascii="Courier New" w:hAnsi="Courier New" w:cs="Courier New"/>
        </w:rPr>
        <w:t xml:space="preserve">Bajo tal marco, esta Suprema Corte ha sostenido que, si del relato y los antecedentes de la causa surge que la afectación de la situación invocada por quien acciona se produjo con el dictado de la norma que cuestiona por </w:t>
      </w:r>
      <w:r>
        <w:rPr>
          <w:rFonts w:ascii="Courier New" w:hAnsi="Courier New" w:cs="Courier New"/>
        </w:rPr>
        <w:lastRenderedPageBreak/>
        <w:t>establecerse en ella la obligación pecuniaria aplicable a su situación y por quedar con su vigencia sujeto al cumplimiento de tal imposición, el aludido plazo debe computarse desde aquel momento (</w:t>
      </w:r>
      <w:proofErr w:type="spellStart"/>
      <w:r>
        <w:rPr>
          <w:rFonts w:ascii="Courier New" w:hAnsi="Courier New" w:cs="Courier New"/>
        </w:rPr>
        <w:t>doctr</w:t>
      </w:r>
      <w:proofErr w:type="spellEnd"/>
      <w:r>
        <w:rPr>
          <w:rFonts w:ascii="Courier New" w:hAnsi="Courier New" w:cs="Courier New"/>
        </w:rPr>
        <w:t>. causas I. 1.854, "</w:t>
      </w:r>
      <w:proofErr w:type="spellStart"/>
      <w:r>
        <w:rPr>
          <w:rFonts w:ascii="Courier New" w:hAnsi="Courier New" w:cs="Courier New"/>
        </w:rPr>
        <w:t>Lamano</w:t>
      </w:r>
      <w:proofErr w:type="spellEnd"/>
      <w:r>
        <w:rPr>
          <w:rFonts w:ascii="Courier New" w:hAnsi="Courier New" w:cs="Courier New"/>
        </w:rPr>
        <w:t xml:space="preserve">", resol. de 11-X-1995; I. 2.148, cit.; I. 74.210, cit.; I. 72.214, cit.; </w:t>
      </w:r>
      <w:proofErr w:type="spellStart"/>
      <w:r>
        <w:rPr>
          <w:rFonts w:ascii="Courier New" w:hAnsi="Courier New" w:cs="Courier New"/>
        </w:rPr>
        <w:t>e.o</w:t>
      </w:r>
      <w:proofErr w:type="spellEnd"/>
      <w:r>
        <w:rPr>
          <w:rFonts w:ascii="Courier New" w:hAnsi="Courier New" w:cs="Courier New"/>
        </w:rPr>
        <w:t>.).</w:t>
      </w:r>
    </w:p>
    <w:p w:rsidR="007553E4" w:rsidRDefault="007553E4" w:rsidP="007553E4">
      <w:pPr>
        <w:pStyle w:val="NormalWeb"/>
        <w:spacing w:line="360" w:lineRule="auto"/>
        <w:ind w:firstLine="1400"/>
        <w:jc w:val="both"/>
      </w:pPr>
      <w:r>
        <w:rPr>
          <w:rFonts w:ascii="Courier New" w:hAnsi="Courier New" w:cs="Courier New"/>
        </w:rPr>
        <w:t>También se ha dicho que el art. 684 del ordenamiento ritual no exige el dictado de un acto administrativo de alcance particular para considerar afectados de modo concreto los derechos patrimoniales de los contribuyentes comprendidos en las normas atacadas y, por tanto, sujetos a la obligación de pago del impuesto en cuestión. Lo determinante del caso, a efectos de iniciar el cómputo del plazo de caducidad, es que de los hechos acreditados en la causa resulte inequívoca la aplicación del precepto impugnado a quien persigue su declaración de inconstitucionalidad (</w:t>
      </w:r>
      <w:proofErr w:type="spellStart"/>
      <w:r>
        <w:rPr>
          <w:rFonts w:ascii="Courier New" w:hAnsi="Courier New" w:cs="Courier New"/>
        </w:rPr>
        <w:t>doctr</w:t>
      </w:r>
      <w:proofErr w:type="spellEnd"/>
      <w:r>
        <w:rPr>
          <w:rFonts w:ascii="Courier New" w:hAnsi="Courier New" w:cs="Courier New"/>
        </w:rPr>
        <w:t>. causas I. 1.514, "</w:t>
      </w:r>
      <w:proofErr w:type="spellStart"/>
      <w:r>
        <w:rPr>
          <w:rFonts w:ascii="Courier New" w:hAnsi="Courier New" w:cs="Courier New"/>
        </w:rPr>
        <w:t>Chirdo</w:t>
      </w:r>
      <w:proofErr w:type="spellEnd"/>
      <w:r>
        <w:rPr>
          <w:rFonts w:ascii="Courier New" w:hAnsi="Courier New" w:cs="Courier New"/>
        </w:rPr>
        <w:t>", resol. de 23-IV-1991; I. 1.513, "Merlo", resol. de 18-V-1991; I. 1.329, "</w:t>
      </w:r>
      <w:proofErr w:type="spellStart"/>
      <w:r>
        <w:rPr>
          <w:rFonts w:ascii="Courier New" w:hAnsi="Courier New" w:cs="Courier New"/>
        </w:rPr>
        <w:t>Playamar</w:t>
      </w:r>
      <w:proofErr w:type="spellEnd"/>
      <w:r>
        <w:rPr>
          <w:rFonts w:ascii="Courier New" w:hAnsi="Courier New" w:cs="Courier New"/>
        </w:rPr>
        <w:t xml:space="preserve"> S.R.L.", </w:t>
      </w:r>
      <w:proofErr w:type="spellStart"/>
      <w:r>
        <w:rPr>
          <w:rFonts w:ascii="Courier New" w:hAnsi="Courier New" w:cs="Courier New"/>
        </w:rPr>
        <w:t>sent</w:t>
      </w:r>
      <w:proofErr w:type="spellEnd"/>
      <w:r>
        <w:rPr>
          <w:rFonts w:ascii="Courier New" w:hAnsi="Courier New" w:cs="Courier New"/>
        </w:rPr>
        <w:t xml:space="preserve">. de 10-XII-1992; I. 1.451, "Clínica Cosme Argerich", </w:t>
      </w:r>
      <w:proofErr w:type="spellStart"/>
      <w:r>
        <w:rPr>
          <w:rFonts w:ascii="Courier New" w:hAnsi="Courier New" w:cs="Courier New"/>
        </w:rPr>
        <w:t>sent</w:t>
      </w:r>
      <w:proofErr w:type="spellEnd"/>
      <w:r>
        <w:rPr>
          <w:rFonts w:ascii="Courier New" w:hAnsi="Courier New" w:cs="Courier New"/>
        </w:rPr>
        <w:t>. de 5-III-1996; I. 2009, "</w:t>
      </w:r>
      <w:proofErr w:type="spellStart"/>
      <w:r>
        <w:rPr>
          <w:rFonts w:ascii="Courier New" w:hAnsi="Courier New" w:cs="Courier New"/>
        </w:rPr>
        <w:t>Falocco</w:t>
      </w:r>
      <w:proofErr w:type="spellEnd"/>
      <w:r>
        <w:rPr>
          <w:rFonts w:ascii="Courier New" w:hAnsi="Courier New" w:cs="Courier New"/>
        </w:rPr>
        <w:t xml:space="preserve">", </w:t>
      </w:r>
      <w:proofErr w:type="spellStart"/>
      <w:r>
        <w:rPr>
          <w:rFonts w:ascii="Courier New" w:hAnsi="Courier New" w:cs="Courier New"/>
        </w:rPr>
        <w:t>sent</w:t>
      </w:r>
      <w:proofErr w:type="spellEnd"/>
      <w:r>
        <w:rPr>
          <w:rFonts w:ascii="Courier New" w:hAnsi="Courier New" w:cs="Courier New"/>
        </w:rPr>
        <w:t>. de 7-X-1997; I. 2.151, "</w:t>
      </w:r>
      <w:proofErr w:type="spellStart"/>
      <w:r>
        <w:rPr>
          <w:rFonts w:ascii="Courier New" w:hAnsi="Courier New" w:cs="Courier New"/>
        </w:rPr>
        <w:t>Smaldini</w:t>
      </w:r>
      <w:proofErr w:type="spellEnd"/>
      <w:r>
        <w:rPr>
          <w:rFonts w:ascii="Courier New" w:hAnsi="Courier New" w:cs="Courier New"/>
        </w:rPr>
        <w:t xml:space="preserve">", resol. de 8-IX-1998; I. 1.607, "Hidalgo", </w:t>
      </w:r>
      <w:proofErr w:type="spellStart"/>
      <w:r>
        <w:rPr>
          <w:rFonts w:ascii="Courier New" w:hAnsi="Courier New" w:cs="Courier New"/>
        </w:rPr>
        <w:t>sent</w:t>
      </w:r>
      <w:proofErr w:type="spellEnd"/>
      <w:r>
        <w:rPr>
          <w:rFonts w:ascii="Courier New" w:hAnsi="Courier New" w:cs="Courier New"/>
        </w:rPr>
        <w:t xml:space="preserve">. de 13-IV-1999; I. 2.160, "Parque Eterno C.A.", resol. de 27-IV-1999; I. 2.219, "Serrano González", </w:t>
      </w:r>
      <w:proofErr w:type="spellStart"/>
      <w:r>
        <w:rPr>
          <w:rFonts w:ascii="Courier New" w:hAnsi="Courier New" w:cs="Courier New"/>
        </w:rPr>
        <w:t>sent</w:t>
      </w:r>
      <w:proofErr w:type="spellEnd"/>
      <w:r>
        <w:rPr>
          <w:rFonts w:ascii="Courier New" w:hAnsi="Courier New" w:cs="Courier New"/>
        </w:rPr>
        <w:t xml:space="preserve">. de 3-IV-2008 e I. 2.148, cit.; I. 72.214, cit.; </w:t>
      </w:r>
      <w:proofErr w:type="spellStart"/>
      <w:r>
        <w:rPr>
          <w:rFonts w:ascii="Courier New" w:hAnsi="Courier New" w:cs="Courier New"/>
        </w:rPr>
        <w:t>e.o</w:t>
      </w:r>
      <w:proofErr w:type="spellEnd"/>
      <w:r>
        <w:rPr>
          <w:rFonts w:ascii="Courier New" w:hAnsi="Courier New" w:cs="Courier New"/>
        </w:rPr>
        <w:t>.).</w:t>
      </w:r>
    </w:p>
    <w:p w:rsidR="007553E4" w:rsidRDefault="007553E4" w:rsidP="007553E4">
      <w:pPr>
        <w:pStyle w:val="NormalWeb"/>
        <w:spacing w:line="360" w:lineRule="auto"/>
        <w:ind w:firstLine="1400"/>
        <w:jc w:val="both"/>
      </w:pPr>
      <w:r>
        <w:rPr>
          <w:rFonts w:ascii="Courier New" w:hAnsi="Courier New" w:cs="Courier New"/>
        </w:rPr>
        <w:t>XI.1. Siguiendo tales premisas, es dable ponderar que la demandada trae a conocimiento del Tribunal la existencia de una fuente oficial digital a través de la cual pueda accederse a la fecha concreta de publicación del precepto objetado.</w:t>
      </w:r>
    </w:p>
    <w:p w:rsidR="007553E4" w:rsidRDefault="007553E4" w:rsidP="007553E4">
      <w:pPr>
        <w:pStyle w:val="NormalWeb"/>
        <w:spacing w:line="360" w:lineRule="auto"/>
        <w:ind w:firstLine="1400"/>
        <w:jc w:val="both"/>
      </w:pPr>
      <w:r>
        <w:rPr>
          <w:rFonts w:ascii="Courier New" w:hAnsi="Courier New" w:cs="Courier New"/>
        </w:rPr>
        <w:t xml:space="preserve">La actora, por su parte, insiste en que la norma aún no ha sido publicada “oficialmente”, motivo por el cual -a su entender- todavía no ha comenzado a regir. Así, sostiene que </w:t>
      </w:r>
      <w:r>
        <w:rPr>
          <w:rFonts w:ascii="Courier New" w:hAnsi="Courier New" w:cs="Courier New"/>
        </w:rPr>
        <w:lastRenderedPageBreak/>
        <w:t xml:space="preserve">la cuestión se centra en la inexistencia del Boletín Oficial municipal impreso en soporte papel que, según interpreta, exige la Ley Orgánica de las Municipalidades en los incisos 2 y 18 del art. 108. </w:t>
      </w:r>
    </w:p>
    <w:p w:rsidR="007553E4" w:rsidRDefault="007553E4" w:rsidP="007553E4">
      <w:pPr>
        <w:pStyle w:val="NormalWeb"/>
        <w:spacing w:line="360" w:lineRule="auto"/>
        <w:ind w:firstLine="1400"/>
        <w:jc w:val="both"/>
      </w:pPr>
      <w:r>
        <w:rPr>
          <w:rFonts w:ascii="Courier New" w:hAnsi="Courier New" w:cs="Courier New"/>
        </w:rPr>
        <w:t>Añade que la ley 14.828 citada por la comuna se circunscribe al Boletín Oficial de la Provincia de Buenos Aires y destaca, de un lado, que no existe una norma similar aplicable al ámbito municipal y, de otro, que al hablarse de “idénticos efectos que la edición impresa” se presupone que ésta se haga en soporte papel.</w:t>
      </w:r>
    </w:p>
    <w:p w:rsidR="007553E4" w:rsidRDefault="007553E4" w:rsidP="007553E4">
      <w:pPr>
        <w:pStyle w:val="NormalWeb"/>
        <w:spacing w:line="360" w:lineRule="auto"/>
        <w:ind w:firstLine="1400"/>
        <w:jc w:val="both"/>
      </w:pPr>
      <w:r>
        <w:rPr>
          <w:rFonts w:ascii="Courier New" w:hAnsi="Courier New" w:cs="Courier New"/>
        </w:rPr>
        <w:t xml:space="preserve">XI.2. Es útil comenzar recordando que el art. 108 del decreto ley 6.769/58 dispone que "Constituyen atribuciones y deberes, en </w:t>
      </w:r>
      <w:proofErr w:type="spellStart"/>
      <w:r>
        <w:rPr>
          <w:rFonts w:ascii="Courier New" w:hAnsi="Courier New" w:cs="Courier New"/>
        </w:rPr>
        <w:t>genera,l</w:t>
      </w:r>
      <w:proofErr w:type="spellEnd"/>
      <w:r>
        <w:rPr>
          <w:rFonts w:ascii="Courier New" w:hAnsi="Courier New" w:cs="Courier New"/>
        </w:rPr>
        <w:t xml:space="preserve"> del Departamento Ejecutivo: promulgar las Ordenanzas o en su caso vetarlas dentro de los diez (10) días hábiles, contados desde su notificación” (inc. 2, incorporado por ley 14.491) y “Confeccionar el Boletín Oficial Municipal en el que deberán publicarse las Ordenanzas del Concejo, Decretos y Resoluciones de ambos departamentos, que dicten las Autoridades del Gobierno Municipal. El Boletín Oficial Municipal se confeccionará como mínimo una vez por mes, y se pondrá en conocimiento de la población en la sede de la Municipalidad y en los lugares de acceso público, que al efecto se determine; también deberá incorporarse en la página Web oficial del Municipio, sin restricciones” (inc. 18, incorporado por ley 14.491).</w:t>
      </w:r>
    </w:p>
    <w:p w:rsidR="007553E4" w:rsidRDefault="007553E4" w:rsidP="007553E4">
      <w:pPr>
        <w:pStyle w:val="NormalWeb"/>
        <w:spacing w:line="360" w:lineRule="auto"/>
        <w:ind w:firstLine="1400"/>
        <w:jc w:val="both"/>
      </w:pPr>
      <w:r>
        <w:rPr>
          <w:rFonts w:ascii="Courier New" w:hAnsi="Courier New" w:cs="Courier New"/>
        </w:rPr>
        <w:t xml:space="preserve">Sentado ello, cabe señalar que, atento las modificaciones introducidas por la ley 14.491 a la Ley Orgánica de las Municipalidades, mediante la resolución 223 del Ministerio de Gobierno de la Provincia, dictada el día 13 de septiembre de 2016, se aprobó el Sistema de Boletines Oficiales </w:t>
      </w:r>
      <w:r>
        <w:rPr>
          <w:rFonts w:ascii="Courier New" w:hAnsi="Courier New" w:cs="Courier New"/>
        </w:rPr>
        <w:lastRenderedPageBreak/>
        <w:t xml:space="preserve">Municipales (SIBOM) -disponible en </w:t>
      </w:r>
      <w:hyperlink r:id="rId4" w:history="1">
        <w:r>
          <w:rPr>
            <w:rStyle w:val="Hipervnculo"/>
            <w:rFonts w:ascii="Courier New" w:hAnsi="Courier New" w:cs="Courier New"/>
          </w:rPr>
          <w:t>http://sibom.slyt.gba.gov.ar-</w:t>
        </w:r>
      </w:hyperlink>
      <w:r>
        <w:rPr>
          <w:rFonts w:ascii="Courier New" w:hAnsi="Courier New" w:cs="Courier New"/>
        </w:rPr>
        <w:t xml:space="preserve"> para propiciar la incorporación de nuevas tecnologías en beneficio de los municipios y de la comunidad en general. Todo ello, en el marco de lo dispuesto en el decreto 45/15 que establece que corresponde a la Secretaría Legal y Técnica la atribución de impulsar la implementación de acciones tendientes al fortalecimiento institucional, la gestión de calidad y la informatización de los procedimientos, como así también de lo previsto en el decreto 50/15 por el cual se confiere a la Dirección Provincial de Impresiones del Estado y Boletín Oficial -dependiente del Ministerio de Gobierno- la competencia de atender la impresión y publicidad de los actos de gobierno.</w:t>
      </w:r>
    </w:p>
    <w:p w:rsidR="007553E4" w:rsidRDefault="007553E4" w:rsidP="007553E4">
      <w:pPr>
        <w:pStyle w:val="NormalWeb"/>
        <w:spacing w:line="360" w:lineRule="auto"/>
        <w:ind w:firstLine="1400"/>
        <w:jc w:val="both"/>
      </w:pPr>
      <w:r>
        <w:rPr>
          <w:rFonts w:ascii="Courier New" w:hAnsi="Courier New" w:cs="Courier New"/>
        </w:rPr>
        <w:t>En este contexto, por resolución 37/17 de la Secretaría Legal y Técnica -emitida el 22 de febrero de 2017 y publicada en el Boletín Oficial digital de la Provincia el día 10 de marzo de 2017-, se aprobó el Acuerdo Marco de Cooperación y Asistencia Legal y Técnica y el Acta Complementaria N° 1 entre la citada Secretaría y la Municipalidad de Pilar, adhiriéndose la comuna al SIBOM.</w:t>
      </w:r>
    </w:p>
    <w:p w:rsidR="007553E4" w:rsidRDefault="007553E4" w:rsidP="007553E4">
      <w:pPr>
        <w:pStyle w:val="NormalWeb"/>
        <w:spacing w:line="360" w:lineRule="auto"/>
        <w:ind w:firstLine="1400"/>
        <w:jc w:val="both"/>
      </w:pPr>
      <w:r>
        <w:rPr>
          <w:rFonts w:ascii="Courier New" w:hAnsi="Courier New" w:cs="Courier New"/>
        </w:rPr>
        <w:t>Fue así que, conforme fuera denunciado por la parte demandada, con fecha 30 de noviembre de 2020</w:t>
      </w:r>
      <w:bookmarkStart w:id="0" w:name="_GoBack"/>
      <w:bookmarkEnd w:id="0"/>
      <w:r>
        <w:rPr>
          <w:rFonts w:ascii="Courier New" w:hAnsi="Courier New" w:cs="Courier New"/>
        </w:rPr>
        <w:t xml:space="preserve"> se publicó en el Boletín Oficial digital N° 146 el decreto 1980/20, por el cual se aprobó y promulgó la ordenanza fiscal e impositiva 35/20 impugnada. Cabe destacar que dicha información se encuentra publicada no sólo a través de la página Web oficial del municipio (</w:t>
      </w:r>
      <w:hyperlink r:id="rId5" w:history="1">
        <w:r>
          <w:rPr>
            <w:rStyle w:val="Hipervnculo"/>
            <w:rFonts w:ascii="Courier New" w:hAnsi="Courier New" w:cs="Courier New"/>
          </w:rPr>
          <w:t>https://www.pilar.gov.ar/gobierno-abierto/boletin-oficial/</w:t>
        </w:r>
      </w:hyperlink>
      <w:r>
        <w:rPr>
          <w:rFonts w:ascii="Courier New" w:hAnsi="Courier New" w:cs="Courier New"/>
        </w:rPr>
        <w:t>) sino también en la plataforma SIBOM (</w:t>
      </w:r>
      <w:hyperlink r:id="rId6" w:history="1">
        <w:r>
          <w:rPr>
            <w:rStyle w:val="Hipervnculo"/>
            <w:rFonts w:ascii="Courier New" w:hAnsi="Courier New" w:cs="Courier New"/>
          </w:rPr>
          <w:t>https://sibom.slyt.gba.gov.ar/cities/35?page=2</w:t>
        </w:r>
      </w:hyperlink>
      <w:r>
        <w:rPr>
          <w:rFonts w:ascii="Courier New" w:hAnsi="Courier New" w:cs="Courier New"/>
        </w:rPr>
        <w:t xml:space="preserve">), ambas de libre acceso. </w:t>
      </w:r>
    </w:p>
    <w:p w:rsidR="007553E4" w:rsidRDefault="007553E4" w:rsidP="007553E4">
      <w:pPr>
        <w:pStyle w:val="NormalWeb"/>
        <w:spacing w:line="360" w:lineRule="auto"/>
        <w:ind w:firstLine="1400"/>
        <w:jc w:val="both"/>
      </w:pPr>
      <w:r>
        <w:rPr>
          <w:rFonts w:ascii="Courier New" w:hAnsi="Courier New" w:cs="Courier New"/>
        </w:rPr>
        <w:lastRenderedPageBreak/>
        <w:t>En suma, más allá de los argumentos contrapuestos por las partes respecto de la exhibición o no en las carteleras ubicadas en un lugar visible de la Municipalidad, surge evidente que la norma en crisis ha sido publicada en uno de los medios legales previstos en el decreto ley 6769/58 y, por tanto, se encuentra vigente.</w:t>
      </w:r>
    </w:p>
    <w:p w:rsidR="007553E4" w:rsidRDefault="007553E4" w:rsidP="007553E4">
      <w:pPr>
        <w:pStyle w:val="NormalWeb"/>
        <w:spacing w:line="360" w:lineRule="auto"/>
        <w:ind w:firstLine="1400"/>
        <w:jc w:val="both"/>
      </w:pPr>
      <w:r>
        <w:rPr>
          <w:rFonts w:ascii="Courier New" w:hAnsi="Courier New" w:cs="Courier New"/>
        </w:rPr>
        <w:t xml:space="preserve">XI.3. Así, atento los términos del escrito </w:t>
      </w:r>
      <w:proofErr w:type="spellStart"/>
      <w:r>
        <w:rPr>
          <w:rFonts w:ascii="Courier New" w:hAnsi="Courier New" w:cs="Courier New"/>
        </w:rPr>
        <w:t>postulatorio</w:t>
      </w:r>
      <w:proofErr w:type="spellEnd"/>
      <w:r>
        <w:rPr>
          <w:rFonts w:ascii="Courier New" w:hAnsi="Courier New" w:cs="Courier New"/>
        </w:rPr>
        <w:t xml:space="preserve">, corresponde concluir que los agravios invocados como fundamento de la pretensión –y, con ello, el </w:t>
      </w:r>
      <w:proofErr w:type="spellStart"/>
      <w:r>
        <w:rPr>
          <w:rFonts w:ascii="Courier New" w:hAnsi="Courier New" w:cs="Courier New"/>
          <w:i/>
          <w:iCs/>
        </w:rPr>
        <w:t>dies</w:t>
      </w:r>
      <w:proofErr w:type="spellEnd"/>
      <w:r>
        <w:rPr>
          <w:rFonts w:ascii="Courier New" w:hAnsi="Courier New" w:cs="Courier New"/>
          <w:i/>
          <w:iCs/>
        </w:rPr>
        <w:t xml:space="preserve"> a quo</w:t>
      </w:r>
      <w:r>
        <w:rPr>
          <w:rFonts w:ascii="Courier New" w:hAnsi="Courier New" w:cs="Courier New"/>
        </w:rPr>
        <w:t xml:space="preserve"> para acudir por esta vía- se produjeron a partir de la mentada publicación, por medio de la cual se creó la Tasa de Desarrollo de la Infraestructura y Promoción del Empleo Local aquí impugnada. Desde ese momento la actora estuvo en condiciones de tomar conocimiento del contenido de la norma controvertida y, de ese modo, estimar las consecuencias perjudiciales que su aplicación podía aparejar. </w:t>
      </w:r>
    </w:p>
    <w:p w:rsidR="007553E4" w:rsidRDefault="007553E4" w:rsidP="007553E4">
      <w:pPr>
        <w:pStyle w:val="NormalWeb"/>
        <w:spacing w:line="360" w:lineRule="auto"/>
        <w:ind w:firstLine="1400"/>
        <w:jc w:val="both"/>
      </w:pPr>
      <w:r>
        <w:rPr>
          <w:rFonts w:ascii="Courier New" w:hAnsi="Courier New" w:cs="Courier New"/>
        </w:rPr>
        <w:t>Bajo estos parámetros, se advierte que el plazo de caducidad de 30 días para instar la presente acción se encontraba vencido al 12 de marzo de 2021, día en que se interpuso la demanda.</w:t>
      </w:r>
    </w:p>
    <w:p w:rsidR="007553E4" w:rsidRDefault="007553E4" w:rsidP="007553E4">
      <w:pPr>
        <w:pStyle w:val="NormalWeb"/>
        <w:spacing w:line="360" w:lineRule="auto"/>
        <w:ind w:firstLine="1400"/>
        <w:jc w:val="both"/>
      </w:pPr>
      <w:r>
        <w:rPr>
          <w:rFonts w:ascii="Courier New" w:hAnsi="Courier New" w:cs="Courier New"/>
        </w:rPr>
        <w:t>XII. Por lo expuesto, corresponde hacer lugar a la excepción deducida por el apoderado de la Municipalidad de Pilar y rechazar, por extemporánea, la acción de inconstitucionalidad incoada.</w:t>
      </w:r>
    </w:p>
    <w:p w:rsidR="007553E4" w:rsidRDefault="007553E4" w:rsidP="007553E4">
      <w:pPr>
        <w:pStyle w:val="NormalWeb"/>
        <w:spacing w:line="360" w:lineRule="auto"/>
        <w:ind w:firstLine="1400"/>
        <w:jc w:val="both"/>
      </w:pPr>
      <w:r>
        <w:rPr>
          <w:rFonts w:ascii="Courier New" w:hAnsi="Courier New" w:cs="Courier New"/>
        </w:rPr>
        <w:t xml:space="preserve">Lo anterior, sin mella de la facultad de la interesada para ocurrir a la jurisdicción ordinaria a fin de ver satisfecha su pretensión (art. 684, </w:t>
      </w:r>
      <w:proofErr w:type="spellStart"/>
      <w:r>
        <w:rPr>
          <w:rFonts w:ascii="Courier New" w:hAnsi="Courier New" w:cs="Courier New"/>
        </w:rPr>
        <w:t>seg</w:t>
      </w:r>
      <w:proofErr w:type="spellEnd"/>
      <w:r>
        <w:rPr>
          <w:rFonts w:ascii="Courier New" w:hAnsi="Courier New" w:cs="Courier New"/>
        </w:rPr>
        <w:t>. párr., CPCC).</w:t>
      </w:r>
    </w:p>
    <w:p w:rsidR="007553E4" w:rsidRDefault="007553E4" w:rsidP="007553E4">
      <w:pPr>
        <w:pStyle w:val="NormalWeb"/>
        <w:spacing w:line="360" w:lineRule="auto"/>
        <w:ind w:firstLine="1400"/>
        <w:jc w:val="both"/>
      </w:pPr>
      <w:r>
        <w:rPr>
          <w:rFonts w:ascii="Courier New" w:hAnsi="Courier New" w:cs="Courier New"/>
        </w:rPr>
        <w:lastRenderedPageBreak/>
        <w:t xml:space="preserve">XIII. Atento el modo en que ha sido resuelta la cuestión relativa a la admisibilidad de la pretensión constitucional, deviene inoficioso el tratamiento de los restantes puntos planteados. </w:t>
      </w:r>
    </w:p>
    <w:p w:rsidR="007553E4" w:rsidRDefault="007553E4" w:rsidP="007553E4">
      <w:pPr>
        <w:pStyle w:val="NormalWeb"/>
        <w:spacing w:line="360" w:lineRule="auto"/>
        <w:ind w:firstLine="1400"/>
        <w:jc w:val="both"/>
      </w:pPr>
      <w:r>
        <w:rPr>
          <w:rFonts w:ascii="Courier New" w:hAnsi="Courier New" w:cs="Courier New"/>
          <w:color w:val="000000"/>
        </w:rPr>
        <w:t>Por ello, la Suprema Corte de Justicia</w:t>
      </w:r>
    </w:p>
    <w:p w:rsidR="007553E4" w:rsidRDefault="007553E4" w:rsidP="007553E4">
      <w:pPr>
        <w:pStyle w:val="NormalWeb"/>
        <w:spacing w:line="360" w:lineRule="auto"/>
        <w:jc w:val="center"/>
      </w:pPr>
      <w:r>
        <w:rPr>
          <w:rFonts w:ascii="Courier New" w:hAnsi="Courier New" w:cs="Courier New"/>
          <w:b/>
          <w:bCs/>
          <w:color w:val="000000"/>
        </w:rPr>
        <w:t>RESUELVE</w:t>
      </w:r>
      <w:r>
        <w:rPr>
          <w:rFonts w:ascii="Courier New" w:hAnsi="Courier New" w:cs="Courier New"/>
          <w:color w:val="000000"/>
        </w:rPr>
        <w:t>:</w:t>
      </w:r>
    </w:p>
    <w:p w:rsidR="007553E4" w:rsidRDefault="007553E4" w:rsidP="007553E4">
      <w:pPr>
        <w:pStyle w:val="NormalWeb"/>
        <w:spacing w:line="360" w:lineRule="auto"/>
        <w:ind w:firstLine="1400"/>
        <w:jc w:val="both"/>
      </w:pPr>
      <w:r>
        <w:rPr>
          <w:rFonts w:ascii="Courier New" w:hAnsi="Courier New" w:cs="Courier New"/>
        </w:rPr>
        <w:t>I. Hacer lugar a la excepción de incompetencia planteada por el apoderado de la Municipalidad de Pilar con fecha 26 de marzo de 2021 y rechazar, por extemporánea, la demanda originaria de inconstitucionalidad promovida por la Cámara Empresaria del Parque Industrial Pilar (arts. 161 inc. 1, Const. prov.; 683 y 684, CPCC). Con costas (art. 68, CPCC).</w:t>
      </w:r>
    </w:p>
    <w:p w:rsidR="007553E4" w:rsidRDefault="007553E4" w:rsidP="007553E4">
      <w:pPr>
        <w:pStyle w:val="NormalWeb"/>
        <w:spacing w:line="360" w:lineRule="auto"/>
        <w:ind w:firstLine="1400"/>
        <w:jc w:val="both"/>
      </w:pPr>
      <w:r>
        <w:rPr>
          <w:rFonts w:ascii="Courier New" w:hAnsi="Courier New" w:cs="Courier New"/>
        </w:rPr>
        <w:t xml:space="preserve">II. Por su actuación profesional en autos y en virtud del resultado obtenido, </w:t>
      </w:r>
      <w:proofErr w:type="spellStart"/>
      <w:r>
        <w:rPr>
          <w:rFonts w:ascii="Courier New" w:hAnsi="Courier New" w:cs="Courier New"/>
        </w:rPr>
        <w:t>regúlanse</w:t>
      </w:r>
      <w:proofErr w:type="spellEnd"/>
      <w:r>
        <w:rPr>
          <w:rFonts w:ascii="Courier New" w:hAnsi="Courier New" w:cs="Courier New"/>
        </w:rPr>
        <w:t xml:space="preserve"> los honorarios del letrado de la parte actora, doctor Herman Antonio Schumacher, en la suma de cincuenta (50) </w:t>
      </w:r>
      <w:proofErr w:type="spellStart"/>
      <w:r>
        <w:rPr>
          <w:rFonts w:ascii="Courier New" w:hAnsi="Courier New" w:cs="Courier New"/>
        </w:rPr>
        <w:t>Jus</w:t>
      </w:r>
      <w:proofErr w:type="spellEnd"/>
      <w:r>
        <w:rPr>
          <w:rFonts w:ascii="Courier New" w:hAnsi="Courier New" w:cs="Courier New"/>
        </w:rPr>
        <w:t xml:space="preserve"> arancelarios (arts. 16 inc. "e", 26 y 49, ley 14.967) y de la letrada de la parte demandada, doctora Valeria Carmen </w:t>
      </w:r>
      <w:proofErr w:type="spellStart"/>
      <w:r>
        <w:rPr>
          <w:rFonts w:ascii="Courier New" w:hAnsi="Courier New" w:cs="Courier New"/>
        </w:rPr>
        <w:t>Labate</w:t>
      </w:r>
      <w:proofErr w:type="spellEnd"/>
      <w:r>
        <w:rPr>
          <w:rFonts w:ascii="Courier New" w:hAnsi="Courier New" w:cs="Courier New"/>
        </w:rPr>
        <w:t xml:space="preserve">, en la suma de cincuenta y nueve (59) </w:t>
      </w:r>
      <w:proofErr w:type="spellStart"/>
      <w:r>
        <w:rPr>
          <w:rFonts w:ascii="Courier New" w:hAnsi="Courier New" w:cs="Courier New"/>
        </w:rPr>
        <w:t>Jus</w:t>
      </w:r>
      <w:proofErr w:type="spellEnd"/>
      <w:r>
        <w:rPr>
          <w:rFonts w:ascii="Courier New" w:hAnsi="Courier New" w:cs="Courier New"/>
        </w:rPr>
        <w:t xml:space="preserve"> arancelarios (arts. 16 inc. "e", 22 y 49, ley 14.967), cantidades a las que se deberá adicionar el 10% (arts. 12 inc. "a" y 16, ley 6716) y lo que resulte de la condición que revistan los mencionados profesionales frente al Impuesto al Valor Agregado (IVA).</w:t>
      </w:r>
    </w:p>
    <w:p w:rsidR="007553E4" w:rsidRDefault="007553E4" w:rsidP="007553E4">
      <w:pPr>
        <w:pStyle w:val="NormalWeb"/>
        <w:spacing w:line="360" w:lineRule="auto"/>
        <w:ind w:firstLine="1400"/>
        <w:jc w:val="both"/>
      </w:pPr>
      <w:r>
        <w:rPr>
          <w:rFonts w:ascii="Courier New" w:hAnsi="Courier New" w:cs="Courier New"/>
        </w:rPr>
        <w:t xml:space="preserve">III. Dadas las particularidades del caso, notifíquese lo aquí resuelto al domicilio electrónico constituido en autos por las firmas British American </w:t>
      </w:r>
      <w:proofErr w:type="spellStart"/>
      <w:r>
        <w:rPr>
          <w:rFonts w:ascii="Courier New" w:hAnsi="Courier New" w:cs="Courier New"/>
        </w:rPr>
        <w:t>Tobacco</w:t>
      </w:r>
      <w:proofErr w:type="spellEnd"/>
      <w:r>
        <w:rPr>
          <w:rFonts w:ascii="Courier New" w:hAnsi="Courier New" w:cs="Courier New"/>
        </w:rPr>
        <w:t xml:space="preserve"> Argentina </w:t>
      </w:r>
      <w:proofErr w:type="spellStart"/>
      <w:r>
        <w:rPr>
          <w:rFonts w:ascii="Courier New" w:hAnsi="Courier New" w:cs="Courier New"/>
        </w:rPr>
        <w:t>SAICyF</w:t>
      </w:r>
      <w:proofErr w:type="spellEnd"/>
      <w:r>
        <w:rPr>
          <w:rFonts w:ascii="Courier New" w:hAnsi="Courier New" w:cs="Courier New"/>
        </w:rPr>
        <w:t xml:space="preserve"> y </w:t>
      </w:r>
      <w:proofErr w:type="spellStart"/>
      <w:r>
        <w:rPr>
          <w:rFonts w:ascii="Courier New" w:hAnsi="Courier New" w:cs="Courier New"/>
        </w:rPr>
        <w:t>Transclor</w:t>
      </w:r>
      <w:proofErr w:type="spellEnd"/>
      <w:r>
        <w:rPr>
          <w:rFonts w:ascii="Courier New" w:hAnsi="Courier New" w:cs="Courier New"/>
        </w:rPr>
        <w:t xml:space="preserve"> SA.</w:t>
      </w:r>
    </w:p>
    <w:p w:rsidR="007553E4" w:rsidRDefault="007553E4" w:rsidP="007553E4">
      <w:pPr>
        <w:pStyle w:val="NormalWeb"/>
        <w:spacing w:line="360" w:lineRule="auto"/>
        <w:ind w:firstLine="1400"/>
        <w:jc w:val="both"/>
      </w:pPr>
      <w:r>
        <w:rPr>
          <w:rFonts w:ascii="Courier New" w:hAnsi="Courier New" w:cs="Courier New"/>
        </w:rPr>
        <w:t>Costas a la parte actora (art. 68, CPCC).</w:t>
      </w:r>
    </w:p>
    <w:p w:rsidR="007553E4" w:rsidRDefault="007553E4" w:rsidP="007553E4">
      <w:pPr>
        <w:pStyle w:val="NormalWeb"/>
        <w:spacing w:line="360" w:lineRule="auto"/>
        <w:ind w:firstLine="1440"/>
        <w:jc w:val="both"/>
      </w:pPr>
      <w:r>
        <w:rPr>
          <w:rFonts w:ascii="Courier New" w:hAnsi="Courier New" w:cs="Courier New"/>
          <w:color w:val="000000"/>
        </w:rPr>
        <w:lastRenderedPageBreak/>
        <w:t>Regístrese y notifíquese de oficio y por medios electrónicos (conf. art. 1 acápite 3 "c", resol. Presidencia SCBA 10/20).</w:t>
      </w:r>
    </w:p>
    <w:p w:rsidR="007553E4" w:rsidRDefault="007553E4" w:rsidP="007553E4">
      <w:pPr>
        <w:pStyle w:val="NormalWeb"/>
        <w:spacing w:line="360" w:lineRule="auto"/>
        <w:ind w:firstLine="2260"/>
        <w:jc w:val="both"/>
      </w:pPr>
      <w:r>
        <w:rPr>
          <w:rFonts w:ascii="Courier New" w:hAnsi="Courier New" w:cs="Courier New"/>
          <w:color w:val="000000"/>
        </w:rPr>
        <w:t> </w:t>
      </w:r>
    </w:p>
    <w:p w:rsidR="007553E4" w:rsidRDefault="007553E4" w:rsidP="007553E4">
      <w:pPr>
        <w:pStyle w:val="NormalWeb"/>
        <w:spacing w:line="360" w:lineRule="auto"/>
        <w:ind w:firstLine="2260"/>
        <w:jc w:val="both"/>
      </w:pPr>
      <w:r>
        <w:rPr>
          <w:rFonts w:ascii="Courier New" w:hAnsi="Courier New" w:cs="Courier New"/>
          <w:color w:val="000000"/>
        </w:rPr>
        <w:t>  </w:t>
      </w:r>
    </w:p>
    <w:p w:rsidR="007553E4" w:rsidRDefault="007553E4" w:rsidP="007553E4">
      <w:pPr>
        <w:pStyle w:val="NormalWeb"/>
      </w:pPr>
      <w:r>
        <w:rPr>
          <w:rFonts w:ascii="Courier New" w:hAnsi="Courier New" w:cs="Courier New"/>
          <w:b/>
          <w:bCs/>
          <w:color w:val="000000"/>
        </w:rPr>
        <w:t>Registrada bajo el Nº</w:t>
      </w:r>
    </w:p>
    <w:p w:rsidR="007553E4" w:rsidRDefault="007553E4" w:rsidP="007553E4">
      <w:pPr>
        <w:pStyle w:val="NormalWeb"/>
      </w:pPr>
      <w:r>
        <w:rPr>
          <w:rFonts w:ascii="BarCode 128" w:hAnsi="BarCode 128"/>
          <w:color w:val="000000"/>
          <w:sz w:val="50"/>
          <w:szCs w:val="50"/>
        </w:rPr>
        <w:t>‰7Xè=</w:t>
      </w:r>
      <w:proofErr w:type="spellStart"/>
      <w:r>
        <w:rPr>
          <w:rFonts w:ascii="BarCode 128" w:hAnsi="BarCode 128"/>
          <w:color w:val="000000"/>
          <w:sz w:val="50"/>
          <w:szCs w:val="50"/>
        </w:rPr>
        <w:t>è#G#EmŠ</w:t>
      </w:r>
      <w:proofErr w:type="spellEnd"/>
    </w:p>
    <w:p w:rsidR="007553E4" w:rsidRDefault="007553E4" w:rsidP="007553E4">
      <w:pPr>
        <w:pStyle w:val="NormalWeb"/>
      </w:pPr>
      <w:r>
        <w:rPr>
          <w:rFonts w:ascii="Courier New" w:hAnsi="Courier New" w:cs="Courier New"/>
          <w:b/>
          <w:bCs/>
          <w:color w:val="000000"/>
        </w:rPr>
        <w:t>Suscripto y registrado por el actuario, en la ciudad de La Plata, en la fecha indicada en la constancia de su firma digital (</w:t>
      </w:r>
      <w:proofErr w:type="spellStart"/>
      <w:r>
        <w:rPr>
          <w:rFonts w:ascii="Courier New" w:hAnsi="Courier New" w:cs="Courier New"/>
          <w:b/>
          <w:bCs/>
          <w:color w:val="000000"/>
        </w:rPr>
        <w:t>Ac.SCBA</w:t>
      </w:r>
      <w:proofErr w:type="spellEnd"/>
      <w:r>
        <w:rPr>
          <w:rFonts w:ascii="Courier New" w:hAnsi="Courier New" w:cs="Courier New"/>
          <w:b/>
          <w:bCs/>
          <w:color w:val="000000"/>
        </w:rPr>
        <w:t xml:space="preserve"> 3971/20).</w:t>
      </w:r>
    </w:p>
    <w:p w:rsidR="007D2A34" w:rsidRDefault="004809E4"/>
    <w:sectPr w:rsidR="007D2A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rCode 128">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4"/>
    <w:rsid w:val="00123A1B"/>
    <w:rsid w:val="00410C47"/>
    <w:rsid w:val="004809E4"/>
    <w:rsid w:val="007553E4"/>
    <w:rsid w:val="00B469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6F08B-546C-4BCF-A294-F976D471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3E4"/>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53E4"/>
    <w:rPr>
      <w:color w:val="0000FF"/>
      <w:u w:val="single"/>
    </w:rPr>
  </w:style>
  <w:style w:type="paragraph" w:styleId="NormalWeb">
    <w:name w:val="Normal (Web)"/>
    <w:basedOn w:val="Normal"/>
    <w:uiPriority w:val="99"/>
    <w:semiHidden/>
    <w:unhideWhenUsed/>
    <w:rsid w:val="007553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bom.slyt.gba.gov.ar/cities/35?page=2" TargetMode="External"/><Relationship Id="rId5" Type="http://schemas.openxmlformats.org/officeDocument/2006/relationships/hyperlink" Target="https://www.pilar.gov.ar/gobierno-abierto/boletin-oficial/" TargetMode="External"/><Relationship Id="rId4" Type="http://schemas.openxmlformats.org/officeDocument/2006/relationships/hyperlink" Target="http://sibom.slyt.gba.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5112</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Grinberg</dc:creator>
  <cp:keywords/>
  <dc:description/>
  <cp:lastModifiedBy>Gustavo Grinberg</cp:lastModifiedBy>
  <cp:revision>2</cp:revision>
  <dcterms:created xsi:type="dcterms:W3CDTF">2021-06-01T11:38:00Z</dcterms:created>
  <dcterms:modified xsi:type="dcterms:W3CDTF">2021-06-01T11:38:00Z</dcterms:modified>
</cp:coreProperties>
</file>